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C5ED8E1" w:rsidR="00F72F4F" w:rsidRDefault="00510297" w:rsidP="00F72F4F">
      <w:pPr>
        <w:pStyle w:val="CH"/>
      </w:pPr>
      <w:bookmarkStart w:id="0" w:name="historyclause"/>
      <w:r w:rsidRPr="006073EA">
        <w:t>3GPP RAN WG</w:t>
      </w:r>
      <w:r>
        <w:t>4</w:t>
      </w:r>
      <w:r w:rsidRPr="006073EA">
        <w:t xml:space="preserve"> Meeting #</w:t>
      </w:r>
      <w:r>
        <w:t>10</w:t>
      </w:r>
      <w:r w:rsidR="009608DF">
        <w:t>8</w:t>
      </w:r>
      <w:r w:rsidR="00D51087">
        <w:t>bis</w:t>
      </w:r>
      <w:r w:rsidR="00F72F4F">
        <w:tab/>
      </w:r>
      <w:r w:rsidR="00F72F4F">
        <w:tab/>
      </w:r>
      <w:r w:rsidR="00DB7FB6" w:rsidRPr="00DB7FB6">
        <w:t>R4-2315389</w:t>
      </w:r>
    </w:p>
    <w:p w14:paraId="4A8CACC6" w14:textId="3DD9A324" w:rsidR="00F72F4F" w:rsidRPr="00FD166F" w:rsidRDefault="00D51087" w:rsidP="00F72F4F">
      <w:pPr>
        <w:pStyle w:val="CH"/>
        <w:tabs>
          <w:tab w:val="clear" w:pos="7920"/>
        </w:tabs>
        <w:rPr>
          <w:b w:val="0"/>
        </w:rPr>
      </w:pPr>
      <w:r>
        <w:t>Xiamen</w:t>
      </w:r>
      <w:r w:rsidR="00510297">
        <w:t xml:space="preserve">, </w:t>
      </w:r>
      <w:r>
        <w:t>China</w:t>
      </w:r>
      <w:r w:rsidR="00510297">
        <w:t xml:space="preserve">, </w:t>
      </w:r>
      <w:r>
        <w:t>October</w:t>
      </w:r>
      <w:r w:rsidR="00510297" w:rsidRPr="00A14D3F">
        <w:t xml:space="preserve"> </w:t>
      </w:r>
      <w:r>
        <w:t>9</w:t>
      </w:r>
      <w:r>
        <w:rPr>
          <w:vertAlign w:val="superscript"/>
        </w:rPr>
        <w:t>th</w:t>
      </w:r>
      <w:r w:rsidR="00510297" w:rsidRPr="00A14D3F">
        <w:t xml:space="preserve"> – </w:t>
      </w:r>
      <w:r>
        <w:t>13</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25406531" w:rsidR="00D309CC" w:rsidRPr="0008103A" w:rsidRDefault="00D309CC" w:rsidP="00D309CC">
      <w:pPr>
        <w:pStyle w:val="CH"/>
        <w:rPr>
          <w:b w:val="0"/>
        </w:rPr>
      </w:pPr>
      <w:r w:rsidRPr="0008103A">
        <w:t>Agenda item:</w:t>
      </w:r>
      <w:r>
        <w:tab/>
      </w:r>
      <w:r w:rsidR="0095313F">
        <w:t>4</w:t>
      </w:r>
      <w:r w:rsidR="00600854">
        <w:t>.</w:t>
      </w:r>
      <w:r w:rsidR="0095313F">
        <w:t>30</w:t>
      </w:r>
      <w:r w:rsidR="00600854">
        <w:t>.</w:t>
      </w:r>
      <w:r w:rsidR="00817A65">
        <w:t>1</w:t>
      </w:r>
      <w:r w:rsidR="00CA4670">
        <w:t>.</w:t>
      </w:r>
      <w:r w:rsidR="0095313F">
        <w:t>5</w:t>
      </w:r>
    </w:p>
    <w:p w14:paraId="4DBE005A" w14:textId="4DFA2DBD" w:rsidR="00D309CC" w:rsidRPr="0008103A" w:rsidRDefault="00D309CC" w:rsidP="00D309CC">
      <w:pPr>
        <w:pStyle w:val="CH"/>
        <w:rPr>
          <w:b w:val="0"/>
        </w:rPr>
      </w:pPr>
      <w:r>
        <w:t>Source:</w:t>
      </w:r>
      <w:r>
        <w:tab/>
        <w:t>Apple</w:t>
      </w:r>
    </w:p>
    <w:p w14:paraId="0D2061A1" w14:textId="69A619A1" w:rsidR="00D309CC" w:rsidRDefault="00D309CC" w:rsidP="00D309CC">
      <w:pPr>
        <w:pStyle w:val="CH"/>
      </w:pPr>
      <w:r w:rsidRPr="0008103A">
        <w:t>Title:</w:t>
      </w:r>
      <w:r w:rsidRPr="0008103A">
        <w:tab/>
      </w:r>
      <w:r w:rsidR="0095313F" w:rsidRPr="0095313F">
        <w:t>MSD analysis for UL CA_n26(2A)</w:t>
      </w:r>
      <w:r w:rsidR="00D603CA">
        <w:t xml:space="preserve"> </w:t>
      </w:r>
      <w:r w:rsidR="00AC0150">
        <w:t xml:space="preserve"> </w:t>
      </w:r>
    </w:p>
    <w:p w14:paraId="052B1E0C" w14:textId="61E1C9CC" w:rsidR="00104BC6" w:rsidRDefault="00104BC6" w:rsidP="00D309CC">
      <w:pPr>
        <w:pStyle w:val="CH"/>
      </w:pPr>
      <w:r>
        <w:t>WI/SI:</w:t>
      </w:r>
      <w:r>
        <w:tab/>
      </w:r>
      <w:r w:rsidR="0095313F" w:rsidRPr="0095313F">
        <w:t>NR_700800900_combo_enh-Core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08B5D180" w:rsidR="008E7986" w:rsidRPr="009A1B25" w:rsidRDefault="0095313F" w:rsidP="009A1B25">
      <w:pPr>
        <w:spacing w:after="120"/>
        <w:jc w:val="both"/>
        <w:rPr>
          <w:rFonts w:ascii="Arial" w:hAnsi="Arial" w:cs="Arial"/>
          <w:sz w:val="20"/>
          <w:szCs w:val="20"/>
        </w:rPr>
      </w:pPr>
      <w:r>
        <w:rPr>
          <w:rFonts w:ascii="Arial" w:hAnsi="Arial" w:cs="Arial"/>
          <w:sz w:val="20"/>
          <w:szCs w:val="20"/>
        </w:rPr>
        <w:t xml:space="preserve">CA_n26(2A) with UL configuration </w:t>
      </w:r>
      <w:r w:rsidR="00886BC8">
        <w:rPr>
          <w:rFonts w:ascii="Arial" w:hAnsi="Arial" w:cs="Arial"/>
          <w:sz w:val="20"/>
          <w:szCs w:val="20"/>
        </w:rPr>
        <w:t xml:space="preserve">same </w:t>
      </w:r>
      <w:r w:rsidR="000A6C2A">
        <w:rPr>
          <w:rFonts w:ascii="Arial" w:hAnsi="Arial" w:cs="Arial"/>
          <w:sz w:val="20"/>
          <w:szCs w:val="20"/>
        </w:rPr>
        <w:t xml:space="preserve">as </w:t>
      </w:r>
      <w:r>
        <w:rPr>
          <w:rFonts w:ascii="Arial" w:hAnsi="Arial" w:cs="Arial"/>
          <w:sz w:val="20"/>
          <w:szCs w:val="20"/>
        </w:rPr>
        <w:t>in DL is the latest addition to the</w:t>
      </w:r>
      <w:r w:rsidR="003F1F20">
        <w:rPr>
          <w:rFonts w:ascii="Arial" w:hAnsi="Arial" w:cs="Arial"/>
          <w:sz w:val="20"/>
          <w:szCs w:val="20"/>
        </w:rPr>
        <w:t xml:space="preserve"> “enhancement on </w:t>
      </w:r>
      <w:r>
        <w:rPr>
          <w:rFonts w:ascii="Arial" w:hAnsi="Arial" w:cs="Arial"/>
          <w:sz w:val="20"/>
          <w:szCs w:val="20"/>
        </w:rPr>
        <w:t xml:space="preserve">700/800/900 </w:t>
      </w:r>
      <w:r w:rsidR="003F1F20">
        <w:rPr>
          <w:rFonts w:ascii="Arial" w:hAnsi="Arial" w:cs="Arial"/>
          <w:sz w:val="20"/>
          <w:szCs w:val="20"/>
        </w:rPr>
        <w:t xml:space="preserve">band combinations” </w:t>
      </w:r>
      <w:r>
        <w:rPr>
          <w:rFonts w:ascii="Arial" w:hAnsi="Arial" w:cs="Arial"/>
          <w:sz w:val="20"/>
          <w:szCs w:val="20"/>
        </w:rPr>
        <w:t>work item which was approved in RAN #101 meeting [1]</w:t>
      </w:r>
      <w:r w:rsidR="0097550C">
        <w:rPr>
          <w:rFonts w:ascii="Arial" w:hAnsi="Arial" w:cs="Arial" w:hint="eastAsia"/>
          <w:sz w:val="20"/>
          <w:szCs w:val="20"/>
        </w:rPr>
        <w:t>.</w:t>
      </w:r>
      <w:r>
        <w:rPr>
          <w:rFonts w:ascii="Arial" w:hAnsi="Arial" w:cs="Arial"/>
          <w:sz w:val="20"/>
          <w:szCs w:val="20"/>
        </w:rPr>
        <w:t xml:space="preserve"> The combination is expected to be subject to odd order UL intermodulation </w:t>
      </w:r>
      <w:r w:rsidR="000B7EA3">
        <w:rPr>
          <w:rFonts w:ascii="Arial" w:hAnsi="Arial" w:cs="Arial"/>
          <w:sz w:val="20"/>
          <w:szCs w:val="20"/>
        </w:rPr>
        <w:t xml:space="preserve">(IMD3, IMD5, IMD7, ...) </w:t>
      </w:r>
      <w:r>
        <w:rPr>
          <w:rFonts w:ascii="Arial" w:hAnsi="Arial" w:cs="Arial"/>
          <w:sz w:val="20"/>
          <w:szCs w:val="20"/>
        </w:rPr>
        <w:t xml:space="preserve">self-interference </w:t>
      </w:r>
      <w:r w:rsidR="00DE4F66">
        <w:rPr>
          <w:rFonts w:ascii="Arial" w:hAnsi="Arial" w:cs="Arial"/>
          <w:sz w:val="20"/>
          <w:szCs w:val="20"/>
        </w:rPr>
        <w:t xml:space="preserve">to both DL carriers where MSD from IMD3 and IMD5 direct </w:t>
      </w:r>
      <w:r w:rsidR="000A6C2A">
        <w:rPr>
          <w:rFonts w:ascii="Arial" w:hAnsi="Arial" w:cs="Arial"/>
          <w:sz w:val="20"/>
          <w:szCs w:val="20"/>
        </w:rPr>
        <w:t xml:space="preserve">hit </w:t>
      </w:r>
      <w:r w:rsidR="00DE4F66">
        <w:rPr>
          <w:rFonts w:ascii="Arial" w:hAnsi="Arial" w:cs="Arial"/>
          <w:sz w:val="20"/>
          <w:szCs w:val="20"/>
        </w:rPr>
        <w:t xml:space="preserve">could potentially be relatively high. In this contribution, we provide our MSD analysis </w:t>
      </w:r>
      <w:r w:rsidR="000A6C2A">
        <w:rPr>
          <w:rFonts w:ascii="Arial" w:hAnsi="Arial" w:cs="Arial"/>
          <w:sz w:val="20"/>
          <w:szCs w:val="20"/>
        </w:rPr>
        <w:t xml:space="preserve">for IMD3 and IMD5 direct hit to DL carriers based on numerical simulations and link </w:t>
      </w:r>
      <w:r w:rsidR="00226ACE">
        <w:rPr>
          <w:rFonts w:ascii="Arial" w:hAnsi="Arial" w:cs="Arial"/>
          <w:sz w:val="20"/>
          <w:szCs w:val="20"/>
        </w:rPr>
        <w:t>analysis</w:t>
      </w:r>
      <w:r w:rsidR="000A6C2A">
        <w:rPr>
          <w:rFonts w:ascii="Arial" w:hAnsi="Arial" w:cs="Arial"/>
          <w:sz w:val="20"/>
          <w:szCs w:val="20"/>
        </w:rPr>
        <w:t>.</w:t>
      </w:r>
      <w:r w:rsidR="009A4EC2">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08B9CBCD" w14:textId="618BBA10" w:rsidR="00886BC8" w:rsidRDefault="000A6C2A" w:rsidP="00575133">
      <w:pPr>
        <w:spacing w:after="120"/>
        <w:jc w:val="both"/>
        <w:rPr>
          <w:rFonts w:ascii="Arial" w:hAnsi="Arial" w:cs="Arial"/>
          <w:sz w:val="20"/>
          <w:szCs w:val="20"/>
        </w:rPr>
      </w:pPr>
      <w:r>
        <w:rPr>
          <w:rFonts w:ascii="Arial" w:hAnsi="Arial" w:cs="Arial"/>
          <w:sz w:val="20"/>
          <w:szCs w:val="20"/>
        </w:rPr>
        <w:t>Our MSD analysis is</w:t>
      </w:r>
      <w:r w:rsidR="00FE4E7C">
        <w:rPr>
          <w:rFonts w:ascii="Arial" w:hAnsi="Arial" w:cs="Arial"/>
          <w:sz w:val="20"/>
          <w:szCs w:val="20"/>
        </w:rPr>
        <w:t xml:space="preserve"> </w:t>
      </w:r>
      <w:r w:rsidR="003F1F20">
        <w:rPr>
          <w:rFonts w:ascii="Arial" w:hAnsi="Arial" w:cs="Arial"/>
          <w:sz w:val="20"/>
          <w:szCs w:val="20"/>
        </w:rPr>
        <w:t>carried out</w:t>
      </w:r>
      <w:r w:rsidR="00FE4E7C">
        <w:rPr>
          <w:rFonts w:ascii="Arial" w:hAnsi="Arial" w:cs="Arial"/>
          <w:sz w:val="20"/>
          <w:szCs w:val="20"/>
        </w:rPr>
        <w:t xml:space="preserve"> for the carrier configuration where </w:t>
      </w:r>
      <w:r w:rsidR="00E87CE3">
        <w:rPr>
          <w:rFonts w:ascii="Arial" w:hAnsi="Arial" w:cs="Arial"/>
          <w:sz w:val="20"/>
          <w:szCs w:val="20"/>
        </w:rPr>
        <w:t xml:space="preserve">UL </w:t>
      </w:r>
      <w:r w:rsidR="00FE4E7C">
        <w:rPr>
          <w:rFonts w:ascii="Arial" w:hAnsi="Arial" w:cs="Arial"/>
          <w:sz w:val="20"/>
          <w:szCs w:val="20"/>
        </w:rPr>
        <w:t>IMD3 and IMD5 have a direct hit on DL PCC and SCC or vice versa which will always take place when the carrier spacing is half of the duplex distance at 22.5 MHz as exemplified in Figure 2-1.</w:t>
      </w:r>
    </w:p>
    <w:p w14:paraId="48FE097E" w14:textId="77777777" w:rsidR="008449D6" w:rsidRDefault="008449D6" w:rsidP="008449D6">
      <w:pPr>
        <w:jc w:val="both"/>
        <w:rPr>
          <w:rFonts w:ascii="Arial" w:hAnsi="Arial" w:cs="Arial"/>
          <w:sz w:val="20"/>
          <w:szCs w:val="20"/>
        </w:rPr>
      </w:pPr>
    </w:p>
    <w:p w14:paraId="09E5EFF9" w14:textId="3FF61D38" w:rsidR="008449D6" w:rsidRDefault="00886BC8" w:rsidP="008449D6">
      <w:pPr>
        <w:jc w:val="both"/>
        <w:rPr>
          <w:rFonts w:ascii="Arial" w:hAnsi="Arial" w:cs="Arial"/>
          <w:sz w:val="20"/>
          <w:szCs w:val="20"/>
        </w:rPr>
      </w:pPr>
      <w:r w:rsidRPr="00886BC8">
        <w:rPr>
          <w:rFonts w:ascii="Arial" w:hAnsi="Arial" w:cs="Arial"/>
          <w:noProof/>
          <w:sz w:val="20"/>
          <w:szCs w:val="20"/>
        </w:rPr>
        <w:drawing>
          <wp:inline distT="0" distB="0" distL="0" distR="0" wp14:anchorId="103BA8F7" wp14:editId="1BEB593A">
            <wp:extent cx="6122035" cy="1502410"/>
            <wp:effectExtent l="0" t="0" r="0" b="0"/>
            <wp:docPr id="23716233" name="Picture 1" descr="A green rectangle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16233" name="Picture 1" descr="A green rectangle with black lines&#10;&#10;Description automatically generated"/>
                    <pic:cNvPicPr/>
                  </pic:nvPicPr>
                  <pic:blipFill>
                    <a:blip r:embed="rId9"/>
                    <a:stretch>
                      <a:fillRect/>
                    </a:stretch>
                  </pic:blipFill>
                  <pic:spPr>
                    <a:xfrm>
                      <a:off x="0" y="0"/>
                      <a:ext cx="6122035" cy="1502410"/>
                    </a:xfrm>
                    <a:prstGeom prst="rect">
                      <a:avLst/>
                    </a:prstGeom>
                  </pic:spPr>
                </pic:pic>
              </a:graphicData>
            </a:graphic>
          </wp:inline>
        </w:drawing>
      </w:r>
      <w:r w:rsidR="00FE4E7C">
        <w:rPr>
          <w:rFonts w:ascii="Arial" w:hAnsi="Arial" w:cs="Arial"/>
          <w:sz w:val="20"/>
          <w:szCs w:val="20"/>
        </w:rPr>
        <w:t xml:space="preserve"> </w:t>
      </w:r>
    </w:p>
    <w:p w14:paraId="0FED91F6" w14:textId="77777777" w:rsidR="008449D6" w:rsidRDefault="008449D6" w:rsidP="008449D6">
      <w:pPr>
        <w:jc w:val="both"/>
        <w:rPr>
          <w:rFonts w:ascii="Arial" w:hAnsi="Arial" w:cs="Arial"/>
          <w:b/>
          <w:bCs/>
          <w:sz w:val="20"/>
          <w:szCs w:val="20"/>
        </w:rPr>
      </w:pPr>
    </w:p>
    <w:p w14:paraId="0D5C49E2" w14:textId="0B8786FA" w:rsidR="008449D6" w:rsidRDefault="008449D6" w:rsidP="008449D6">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1 UL/DL CA_n26(2A) example configuration with IMD3 and IMD5 direct hit to DL carriers</w:t>
      </w:r>
    </w:p>
    <w:p w14:paraId="44E92534" w14:textId="77777777" w:rsidR="0040649B" w:rsidRDefault="0040649B" w:rsidP="0040649B">
      <w:pPr>
        <w:jc w:val="both"/>
        <w:rPr>
          <w:rFonts w:ascii="Arial" w:hAnsi="Arial" w:cs="Arial"/>
          <w:sz w:val="20"/>
          <w:szCs w:val="20"/>
        </w:rPr>
      </w:pPr>
    </w:p>
    <w:p w14:paraId="07D6D955" w14:textId="20BF614F" w:rsidR="00782910" w:rsidRDefault="00782910" w:rsidP="00782910">
      <w:pPr>
        <w:spacing w:after="120"/>
        <w:jc w:val="both"/>
        <w:rPr>
          <w:rFonts w:ascii="Arial" w:hAnsi="Arial" w:cs="Arial"/>
          <w:sz w:val="20"/>
          <w:szCs w:val="20"/>
        </w:rPr>
      </w:pPr>
      <w:r w:rsidRPr="0040649B">
        <w:rPr>
          <w:rFonts w:ascii="Arial" w:hAnsi="Arial" w:cs="Arial"/>
          <w:b/>
          <w:bCs/>
          <w:i/>
          <w:iCs/>
          <w:sz w:val="20"/>
          <w:szCs w:val="20"/>
        </w:rPr>
        <w:t>Observation 1</w:t>
      </w:r>
      <w:r w:rsidRPr="0040649B">
        <w:rPr>
          <w:rFonts w:ascii="Arial" w:hAnsi="Arial" w:cs="Arial"/>
          <w:i/>
          <w:iCs/>
          <w:sz w:val="20"/>
          <w:szCs w:val="20"/>
        </w:rPr>
        <w:t xml:space="preserve">: </w:t>
      </w:r>
      <w:r>
        <w:rPr>
          <w:rFonts w:ascii="Arial" w:hAnsi="Arial" w:cs="Arial"/>
          <w:i/>
          <w:iCs/>
          <w:sz w:val="20"/>
          <w:szCs w:val="20"/>
        </w:rPr>
        <w:t>UL/DL CA_n26(2A) has 2UL IMD3 and IMD5 direct hit to DL PCC and SCC or vice versa when the carrier spacing is half of the duplex distance at 22.5 MHz.</w:t>
      </w:r>
    </w:p>
    <w:p w14:paraId="685BD487" w14:textId="77777777" w:rsidR="00782910" w:rsidRDefault="00782910" w:rsidP="0040649B">
      <w:pPr>
        <w:jc w:val="both"/>
        <w:rPr>
          <w:rFonts w:ascii="Arial" w:hAnsi="Arial" w:cs="Arial"/>
          <w:sz w:val="20"/>
          <w:szCs w:val="20"/>
        </w:rPr>
      </w:pPr>
    </w:p>
    <w:p w14:paraId="047BCEED" w14:textId="7E2E46E8" w:rsidR="008449D6" w:rsidRDefault="008449D6" w:rsidP="00E87CE3">
      <w:pPr>
        <w:spacing w:after="120"/>
        <w:jc w:val="both"/>
        <w:rPr>
          <w:rFonts w:ascii="Arial" w:hAnsi="Arial" w:cs="Arial"/>
          <w:sz w:val="20"/>
          <w:szCs w:val="20"/>
        </w:rPr>
      </w:pPr>
      <w:r>
        <w:rPr>
          <w:rFonts w:ascii="Arial" w:hAnsi="Arial" w:cs="Arial"/>
          <w:sz w:val="20"/>
          <w:szCs w:val="20"/>
        </w:rPr>
        <w:t xml:space="preserve">The </w:t>
      </w:r>
      <w:r w:rsidR="00E87CE3">
        <w:rPr>
          <w:rFonts w:ascii="Arial" w:hAnsi="Arial" w:cs="Arial"/>
          <w:sz w:val="20"/>
          <w:szCs w:val="20"/>
        </w:rPr>
        <w:t xml:space="preserve">Tx interference noise power to DL PCC and SCC </w:t>
      </w:r>
      <w:r w:rsidR="00782910">
        <w:rPr>
          <w:rFonts w:ascii="Arial" w:hAnsi="Arial" w:cs="Arial"/>
          <w:sz w:val="20"/>
          <w:szCs w:val="20"/>
        </w:rPr>
        <w:t xml:space="preserve">frequency ranges </w:t>
      </w:r>
      <w:r w:rsidR="00E87CE3">
        <w:rPr>
          <w:rFonts w:ascii="Arial" w:hAnsi="Arial" w:cs="Arial"/>
          <w:sz w:val="20"/>
          <w:szCs w:val="20"/>
        </w:rPr>
        <w:t>at the PA output was evaluated based on numerical simulations where the simulation assumptions are summarized in Table 2-1.</w:t>
      </w:r>
    </w:p>
    <w:p w14:paraId="63458EAB" w14:textId="77777777" w:rsidR="008449D6" w:rsidRDefault="008449D6" w:rsidP="0040649B">
      <w:pPr>
        <w:jc w:val="both"/>
        <w:rPr>
          <w:rFonts w:ascii="Arial" w:hAnsi="Arial" w:cs="Arial"/>
          <w:sz w:val="20"/>
          <w:szCs w:val="20"/>
        </w:rPr>
      </w:pPr>
    </w:p>
    <w:tbl>
      <w:tblPr>
        <w:tblW w:w="8180" w:type="dxa"/>
        <w:jc w:val="center"/>
        <w:tblLook w:val="04A0" w:firstRow="1" w:lastRow="0" w:firstColumn="1" w:lastColumn="0" w:noHBand="0" w:noVBand="1"/>
      </w:tblPr>
      <w:tblGrid>
        <w:gridCol w:w="2100"/>
        <w:gridCol w:w="3920"/>
        <w:gridCol w:w="2160"/>
      </w:tblGrid>
      <w:tr w:rsidR="008449D6" w:rsidRPr="00F64BDA" w14:paraId="78BEEFC6" w14:textId="77777777" w:rsidTr="00B8176C">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EC6853"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Parameter</w:t>
            </w:r>
          </w:p>
        </w:tc>
        <w:tc>
          <w:tcPr>
            <w:tcW w:w="3920" w:type="dxa"/>
            <w:tcBorders>
              <w:top w:val="single" w:sz="8" w:space="0" w:color="auto"/>
              <w:left w:val="nil"/>
              <w:bottom w:val="single" w:sz="4" w:space="0" w:color="auto"/>
              <w:right w:val="single" w:sz="4" w:space="0" w:color="auto"/>
            </w:tcBorders>
            <w:shd w:val="clear" w:color="auto" w:fill="auto"/>
            <w:noWrap/>
            <w:vAlign w:val="center"/>
            <w:hideMark/>
          </w:tcPr>
          <w:p w14:paraId="0D6B1CA2"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Value</w:t>
            </w:r>
          </w:p>
        </w:tc>
        <w:tc>
          <w:tcPr>
            <w:tcW w:w="2160" w:type="dxa"/>
            <w:tcBorders>
              <w:top w:val="single" w:sz="8" w:space="0" w:color="auto"/>
              <w:left w:val="nil"/>
              <w:bottom w:val="single" w:sz="4" w:space="0" w:color="auto"/>
              <w:right w:val="single" w:sz="8" w:space="0" w:color="auto"/>
            </w:tcBorders>
            <w:shd w:val="clear" w:color="auto" w:fill="auto"/>
            <w:noWrap/>
            <w:vAlign w:val="center"/>
            <w:hideMark/>
          </w:tcPr>
          <w:p w14:paraId="61363C94"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Comment</w:t>
            </w:r>
          </w:p>
        </w:tc>
      </w:tr>
      <w:tr w:rsidR="008449D6" w:rsidRPr="00F64BDA" w14:paraId="5CEB93C3"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001825A"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3920" w:type="dxa"/>
            <w:tcBorders>
              <w:top w:val="nil"/>
              <w:left w:val="nil"/>
              <w:bottom w:val="single" w:sz="4" w:space="0" w:color="auto"/>
              <w:right w:val="single" w:sz="4" w:space="0" w:color="auto"/>
            </w:tcBorders>
            <w:shd w:val="clear" w:color="auto" w:fill="auto"/>
            <w:noWrap/>
            <w:vAlign w:val="center"/>
            <w:hideMark/>
          </w:tcPr>
          <w:p w14:paraId="64F2A79C"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Same as used for MPR/A-MPR simulations </w:t>
            </w:r>
          </w:p>
        </w:tc>
        <w:tc>
          <w:tcPr>
            <w:tcW w:w="2160" w:type="dxa"/>
            <w:tcBorders>
              <w:top w:val="nil"/>
              <w:left w:val="nil"/>
              <w:bottom w:val="single" w:sz="4" w:space="0" w:color="auto"/>
              <w:right w:val="single" w:sz="8" w:space="0" w:color="auto"/>
            </w:tcBorders>
            <w:shd w:val="clear" w:color="auto" w:fill="auto"/>
            <w:noWrap/>
            <w:vAlign w:val="center"/>
            <w:hideMark/>
          </w:tcPr>
          <w:p w14:paraId="4C15019C"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CIM3, CIM5, IRR, etc.</w:t>
            </w:r>
          </w:p>
        </w:tc>
      </w:tr>
      <w:tr w:rsidR="008449D6" w:rsidRPr="00F64BDA" w14:paraId="7516A532"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49094BA" w14:textId="7B1EE314" w:rsidR="008449D6" w:rsidRPr="00F64BDA" w:rsidRDefault="008449D6" w:rsidP="004A7442">
            <w:pPr>
              <w:rPr>
                <w:rFonts w:ascii="Arial" w:hAnsi="Arial" w:cs="Arial"/>
                <w:color w:val="000000"/>
                <w:sz w:val="18"/>
                <w:szCs w:val="18"/>
              </w:rPr>
            </w:pPr>
            <w:r>
              <w:rPr>
                <w:rFonts w:ascii="Arial" w:hAnsi="Arial" w:cs="Arial"/>
                <w:color w:val="000000"/>
                <w:sz w:val="18"/>
                <w:szCs w:val="18"/>
              </w:rPr>
              <w:t xml:space="preserve">Total </w:t>
            </w: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3920" w:type="dxa"/>
            <w:tcBorders>
              <w:top w:val="nil"/>
              <w:left w:val="nil"/>
              <w:bottom w:val="single" w:sz="4" w:space="0" w:color="auto"/>
              <w:right w:val="single" w:sz="4" w:space="0" w:color="auto"/>
            </w:tcBorders>
            <w:shd w:val="clear" w:color="auto" w:fill="auto"/>
            <w:noWrap/>
            <w:vAlign w:val="center"/>
            <w:hideMark/>
          </w:tcPr>
          <w:p w14:paraId="49A68B32" w14:textId="35EA0C1D"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2</w:t>
            </w:r>
            <w:r>
              <w:rPr>
                <w:rFonts w:ascii="Arial" w:hAnsi="Arial" w:cs="Arial"/>
                <w:color w:val="000000"/>
                <w:sz w:val="18"/>
                <w:szCs w:val="18"/>
              </w:rPr>
              <w:t>3</w:t>
            </w:r>
            <w:r w:rsidRPr="00F64BDA">
              <w:rPr>
                <w:rFonts w:ascii="Arial" w:hAnsi="Arial" w:cs="Arial"/>
                <w:color w:val="000000"/>
                <w:sz w:val="18"/>
                <w:szCs w:val="18"/>
              </w:rPr>
              <w:t xml:space="preserve"> dBm</w:t>
            </w:r>
          </w:p>
        </w:tc>
        <w:tc>
          <w:tcPr>
            <w:tcW w:w="2160" w:type="dxa"/>
            <w:tcBorders>
              <w:top w:val="nil"/>
              <w:left w:val="nil"/>
              <w:bottom w:val="single" w:sz="4" w:space="0" w:color="auto"/>
              <w:right w:val="single" w:sz="8" w:space="0" w:color="auto"/>
            </w:tcBorders>
            <w:shd w:val="clear" w:color="auto" w:fill="auto"/>
            <w:noWrap/>
            <w:vAlign w:val="center"/>
            <w:hideMark/>
          </w:tcPr>
          <w:p w14:paraId="1536DF06"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At antenna port</w:t>
            </w:r>
          </w:p>
        </w:tc>
      </w:tr>
      <w:tr w:rsidR="008449D6" w:rsidRPr="00F64BDA" w14:paraId="6D71BF62"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00CC5BF7"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3920" w:type="dxa"/>
            <w:tcBorders>
              <w:top w:val="nil"/>
              <w:left w:val="nil"/>
              <w:bottom w:val="single" w:sz="4" w:space="0" w:color="auto"/>
              <w:right w:val="single" w:sz="4" w:space="0" w:color="auto"/>
            </w:tcBorders>
            <w:shd w:val="clear" w:color="auto" w:fill="auto"/>
            <w:noWrap/>
            <w:vAlign w:val="center"/>
            <w:hideMark/>
          </w:tcPr>
          <w:p w14:paraId="3AF0BC51"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4 dB</w:t>
            </w:r>
          </w:p>
        </w:tc>
        <w:tc>
          <w:tcPr>
            <w:tcW w:w="2160" w:type="dxa"/>
            <w:tcBorders>
              <w:top w:val="nil"/>
              <w:left w:val="nil"/>
              <w:bottom w:val="single" w:sz="4" w:space="0" w:color="auto"/>
              <w:right w:val="single" w:sz="8" w:space="0" w:color="auto"/>
            </w:tcBorders>
            <w:shd w:val="clear" w:color="auto" w:fill="auto"/>
            <w:noWrap/>
            <w:vAlign w:val="center"/>
            <w:hideMark/>
          </w:tcPr>
          <w:p w14:paraId="40754200" w14:textId="77777777" w:rsidR="008449D6" w:rsidRPr="00F64BDA" w:rsidRDefault="008449D6" w:rsidP="004A7442">
            <w:pPr>
              <w:rPr>
                <w:rFonts w:ascii="Arial" w:hAnsi="Arial" w:cs="Arial"/>
                <w:color w:val="000000"/>
                <w:sz w:val="18"/>
                <w:szCs w:val="18"/>
              </w:rPr>
            </w:pPr>
            <w:r w:rsidRPr="00F64BDA">
              <w:rPr>
                <w:rFonts w:ascii="Arial" w:hAnsi="Arial" w:cs="Arial"/>
                <w:color w:val="000000"/>
                <w:sz w:val="18"/>
                <w:szCs w:val="18"/>
              </w:rPr>
              <w:t> </w:t>
            </w:r>
          </w:p>
        </w:tc>
      </w:tr>
      <w:tr w:rsidR="008449D6" w:rsidRPr="00F64BDA" w14:paraId="0E11A339"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37D35C8" w14:textId="6CA1F2BF" w:rsidR="008449D6" w:rsidRPr="00F64BDA" w:rsidRDefault="008449D6" w:rsidP="004A7442">
            <w:pPr>
              <w:rPr>
                <w:rFonts w:ascii="Arial" w:hAnsi="Arial" w:cs="Arial"/>
                <w:color w:val="000000"/>
                <w:sz w:val="18"/>
                <w:szCs w:val="18"/>
              </w:rPr>
            </w:pPr>
            <w:r>
              <w:rPr>
                <w:rFonts w:ascii="Arial" w:hAnsi="Arial" w:cs="Arial"/>
                <w:color w:val="000000"/>
                <w:sz w:val="18"/>
                <w:szCs w:val="18"/>
              </w:rPr>
              <w:t>C</w:t>
            </w:r>
            <w:r w:rsidRPr="00F64BDA">
              <w:rPr>
                <w:rFonts w:ascii="Arial" w:hAnsi="Arial" w:cs="Arial"/>
                <w:color w:val="000000"/>
                <w:sz w:val="18"/>
                <w:szCs w:val="18"/>
              </w:rPr>
              <w:t>hannel BW</w:t>
            </w:r>
          </w:p>
        </w:tc>
        <w:tc>
          <w:tcPr>
            <w:tcW w:w="3920" w:type="dxa"/>
            <w:tcBorders>
              <w:top w:val="single" w:sz="4" w:space="0" w:color="auto"/>
              <w:left w:val="nil"/>
              <w:bottom w:val="single" w:sz="4" w:space="0" w:color="auto"/>
              <w:right w:val="single" w:sz="4" w:space="0" w:color="auto"/>
            </w:tcBorders>
            <w:shd w:val="clear" w:color="auto" w:fill="auto"/>
            <w:noWrap/>
            <w:vAlign w:val="center"/>
            <w:hideMark/>
          </w:tcPr>
          <w:p w14:paraId="55851B49" w14:textId="6FA90F9B" w:rsidR="008449D6" w:rsidRPr="00F64BDA" w:rsidRDefault="008449D6" w:rsidP="004A7442">
            <w:pPr>
              <w:rPr>
                <w:rFonts w:ascii="Arial" w:hAnsi="Arial" w:cs="Arial"/>
                <w:color w:val="000000"/>
                <w:sz w:val="18"/>
                <w:szCs w:val="18"/>
              </w:rPr>
            </w:pPr>
            <w:r>
              <w:rPr>
                <w:rFonts w:ascii="Arial" w:hAnsi="Arial" w:cs="Arial"/>
                <w:color w:val="000000"/>
                <w:sz w:val="18"/>
                <w:szCs w:val="18"/>
              </w:rPr>
              <w:t>PCC UL/DL: 5/5; SCC UL/DL: 5/5</w:t>
            </w:r>
          </w:p>
        </w:tc>
        <w:tc>
          <w:tcPr>
            <w:tcW w:w="2160" w:type="dxa"/>
            <w:tcBorders>
              <w:top w:val="single" w:sz="4" w:space="0" w:color="auto"/>
              <w:left w:val="nil"/>
              <w:bottom w:val="single" w:sz="4" w:space="0" w:color="auto"/>
              <w:right w:val="single" w:sz="8" w:space="0" w:color="auto"/>
            </w:tcBorders>
            <w:shd w:val="clear" w:color="auto" w:fill="auto"/>
            <w:noWrap/>
            <w:vAlign w:val="center"/>
            <w:hideMark/>
          </w:tcPr>
          <w:p w14:paraId="6E74B35B" w14:textId="77777777" w:rsidR="008449D6" w:rsidRPr="00F64BDA" w:rsidRDefault="008449D6" w:rsidP="004A7442">
            <w:pPr>
              <w:rPr>
                <w:rFonts w:ascii="Arial" w:hAnsi="Arial" w:cs="Arial"/>
                <w:color w:val="000000"/>
                <w:sz w:val="18"/>
                <w:szCs w:val="18"/>
              </w:rPr>
            </w:pPr>
            <w:r>
              <w:rPr>
                <w:rFonts w:ascii="Arial" w:hAnsi="Arial" w:cs="Arial"/>
                <w:color w:val="000000"/>
                <w:sz w:val="18"/>
                <w:szCs w:val="18"/>
              </w:rPr>
              <w:t>MHz</w:t>
            </w:r>
          </w:p>
        </w:tc>
      </w:tr>
    </w:tbl>
    <w:p w14:paraId="430FA2FC" w14:textId="77777777" w:rsidR="008449D6" w:rsidRDefault="008449D6" w:rsidP="0040649B">
      <w:pPr>
        <w:jc w:val="both"/>
        <w:rPr>
          <w:rFonts w:ascii="Arial" w:hAnsi="Arial" w:cs="Arial"/>
          <w:sz w:val="20"/>
          <w:szCs w:val="20"/>
        </w:rPr>
      </w:pPr>
    </w:p>
    <w:p w14:paraId="76532EDB" w14:textId="078ED8C8" w:rsidR="00E87CE3" w:rsidRDefault="00E87CE3" w:rsidP="00E87CE3">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Simulation assumptions for CA_n26(2A) Tx interference noise power to DL PCC and SCC </w:t>
      </w:r>
    </w:p>
    <w:p w14:paraId="10C7D68D" w14:textId="34B8258D" w:rsidR="00E87CE3" w:rsidRDefault="00782910" w:rsidP="00575133">
      <w:pPr>
        <w:spacing w:after="120"/>
        <w:jc w:val="both"/>
        <w:rPr>
          <w:rFonts w:ascii="Arial" w:hAnsi="Arial" w:cs="Arial"/>
          <w:sz w:val="20"/>
          <w:szCs w:val="20"/>
        </w:rPr>
      </w:pPr>
      <w:r>
        <w:rPr>
          <w:rFonts w:ascii="Arial" w:hAnsi="Arial" w:cs="Arial"/>
          <w:sz w:val="20"/>
          <w:szCs w:val="20"/>
        </w:rPr>
        <w:lastRenderedPageBreak/>
        <w:t>Figure 2-2 shows the simulated spectral profile at n26 PA output (single PA)</w:t>
      </w:r>
      <w:r w:rsidR="00E90D30">
        <w:rPr>
          <w:rFonts w:ascii="Arial" w:hAnsi="Arial" w:cs="Arial"/>
          <w:sz w:val="20"/>
          <w:szCs w:val="20"/>
        </w:rPr>
        <w:t xml:space="preserve"> where the ranges highlighted in light green are the DL carrier allocations. The IMD3 and IMD5 direct hit to DL carriers can be observed via the first and second noise humps next to the right UL carrier. Notice that the Tx noise into DL range is not only contributed by the 2UL intermodulation products but also the nonlinear self-distortion </w:t>
      </w:r>
      <w:r w:rsidR="00226ACE">
        <w:rPr>
          <w:rFonts w:ascii="Arial" w:hAnsi="Arial" w:cs="Arial"/>
          <w:sz w:val="20"/>
          <w:szCs w:val="20"/>
        </w:rPr>
        <w:t xml:space="preserve">(ACLR) </w:t>
      </w:r>
      <w:r w:rsidR="00E90D30">
        <w:rPr>
          <w:rFonts w:ascii="Arial" w:hAnsi="Arial" w:cs="Arial"/>
          <w:sz w:val="20"/>
          <w:szCs w:val="20"/>
        </w:rPr>
        <w:t>from each UL carrier</w:t>
      </w:r>
      <w:r w:rsidR="00226ACE">
        <w:rPr>
          <w:rFonts w:ascii="Arial" w:hAnsi="Arial" w:cs="Arial"/>
          <w:sz w:val="20"/>
          <w:szCs w:val="20"/>
        </w:rPr>
        <w:t xml:space="preserve"> respectively.</w:t>
      </w:r>
      <w:r w:rsidR="00E90D30">
        <w:rPr>
          <w:rFonts w:ascii="Arial" w:hAnsi="Arial" w:cs="Arial"/>
          <w:sz w:val="20"/>
          <w:szCs w:val="20"/>
        </w:rPr>
        <w:t xml:space="preserve">    </w:t>
      </w:r>
    </w:p>
    <w:p w14:paraId="33D3B0B0" w14:textId="77777777" w:rsidR="00E90D30" w:rsidRDefault="00E90D30" w:rsidP="00E90D30">
      <w:pPr>
        <w:jc w:val="both"/>
        <w:rPr>
          <w:rFonts w:ascii="Arial" w:hAnsi="Arial" w:cs="Arial"/>
          <w:sz w:val="20"/>
          <w:szCs w:val="20"/>
        </w:rPr>
      </w:pPr>
    </w:p>
    <w:p w14:paraId="6EE5F4EA" w14:textId="17855A3B" w:rsidR="0040649B" w:rsidRPr="0040649B" w:rsidRDefault="00E90D30" w:rsidP="00575133">
      <w:pPr>
        <w:spacing w:after="120"/>
        <w:jc w:val="both"/>
        <w:rPr>
          <w:rFonts w:ascii="Arial" w:hAnsi="Arial" w:cs="Arial"/>
          <w:i/>
          <w:iCs/>
          <w:sz w:val="20"/>
          <w:szCs w:val="20"/>
        </w:rPr>
      </w:pPr>
      <w:r>
        <w:rPr>
          <w:rFonts w:ascii="Arial" w:hAnsi="Arial" w:cs="Arial"/>
          <w:b/>
          <w:bCs/>
          <w:i/>
          <w:iCs/>
          <w:noProof/>
          <w:sz w:val="20"/>
          <w:szCs w:val="20"/>
        </w:rPr>
        <w:drawing>
          <wp:inline distT="0" distB="0" distL="0" distR="0" wp14:anchorId="2AD6419D" wp14:editId="79E95770">
            <wp:extent cx="6122035" cy="1934210"/>
            <wp:effectExtent l="0" t="0" r="0" b="0"/>
            <wp:docPr id="1538319756"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19756" name="Picture 1" descr="A graph with a blue 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934210"/>
                    </a:xfrm>
                    <a:prstGeom prst="rect">
                      <a:avLst/>
                    </a:prstGeom>
                  </pic:spPr>
                </pic:pic>
              </a:graphicData>
            </a:graphic>
          </wp:inline>
        </w:drawing>
      </w:r>
    </w:p>
    <w:p w14:paraId="7F1E28AD" w14:textId="77777777" w:rsidR="0040649B" w:rsidRDefault="0040649B" w:rsidP="0040649B">
      <w:pPr>
        <w:jc w:val="both"/>
        <w:rPr>
          <w:rFonts w:ascii="Arial" w:hAnsi="Arial" w:cs="Arial"/>
          <w:sz w:val="20"/>
          <w:szCs w:val="20"/>
        </w:rPr>
      </w:pPr>
    </w:p>
    <w:p w14:paraId="71C700F8" w14:textId="175C41EB" w:rsidR="005710B2" w:rsidRPr="0040649B" w:rsidRDefault="0040649B" w:rsidP="00575133">
      <w:pPr>
        <w:spacing w:after="120"/>
        <w:jc w:val="both"/>
        <w:rPr>
          <w:rFonts w:ascii="Arial" w:hAnsi="Arial" w:cs="Arial"/>
          <w:i/>
          <w:iCs/>
          <w:sz w:val="20"/>
          <w:szCs w:val="20"/>
        </w:rPr>
      </w:pPr>
      <w:r w:rsidRPr="0040649B">
        <w:rPr>
          <w:rFonts w:ascii="Arial" w:hAnsi="Arial" w:cs="Arial"/>
          <w:b/>
          <w:bCs/>
          <w:i/>
          <w:iCs/>
          <w:sz w:val="20"/>
          <w:szCs w:val="20"/>
        </w:rPr>
        <w:t>Observation 2</w:t>
      </w:r>
      <w:r w:rsidRPr="0040649B">
        <w:rPr>
          <w:rFonts w:ascii="Arial" w:hAnsi="Arial" w:cs="Arial"/>
          <w:i/>
          <w:iCs/>
          <w:sz w:val="20"/>
          <w:szCs w:val="20"/>
        </w:rPr>
        <w:t xml:space="preserve">: The </w:t>
      </w:r>
      <w:r w:rsidR="00226ACE">
        <w:rPr>
          <w:rFonts w:ascii="Arial" w:hAnsi="Arial" w:cs="Arial"/>
          <w:i/>
          <w:iCs/>
          <w:sz w:val="20"/>
          <w:szCs w:val="20"/>
        </w:rPr>
        <w:t xml:space="preserve">UL CA_n26(2A) Tx noise into DL range is not </w:t>
      </w:r>
      <w:r w:rsidR="00226ACE" w:rsidRPr="00226ACE">
        <w:rPr>
          <w:rFonts w:ascii="Arial" w:hAnsi="Arial" w:cs="Arial"/>
          <w:i/>
          <w:iCs/>
          <w:sz w:val="20"/>
          <w:szCs w:val="20"/>
        </w:rPr>
        <w:t>only contributed by the 2UL intermodulation products but also the nonlinear self-distortion (ACLR) from each UL carrier respectively.</w:t>
      </w:r>
    </w:p>
    <w:p w14:paraId="264C9EB3" w14:textId="77777777" w:rsidR="0040649B" w:rsidRDefault="0040649B" w:rsidP="0040649B">
      <w:pPr>
        <w:jc w:val="both"/>
        <w:rPr>
          <w:rFonts w:ascii="Arial" w:hAnsi="Arial" w:cs="Arial"/>
          <w:sz w:val="20"/>
          <w:szCs w:val="20"/>
          <w:lang w:val="en-GB"/>
        </w:rPr>
      </w:pPr>
    </w:p>
    <w:p w14:paraId="5E5EE83E" w14:textId="76C0FBA3" w:rsidR="00947C76" w:rsidRDefault="00226ACE" w:rsidP="00575133">
      <w:pPr>
        <w:spacing w:after="120"/>
        <w:jc w:val="both"/>
        <w:rPr>
          <w:rFonts w:ascii="Arial" w:hAnsi="Arial" w:cs="Arial"/>
          <w:sz w:val="20"/>
          <w:szCs w:val="20"/>
          <w:lang w:val="en-GB"/>
        </w:rPr>
      </w:pPr>
      <w:r>
        <w:rPr>
          <w:rFonts w:ascii="Arial" w:hAnsi="Arial" w:cs="Arial"/>
          <w:sz w:val="20"/>
          <w:szCs w:val="20"/>
          <w:lang w:val="en-GB"/>
        </w:rPr>
        <w:t>The simulated Tx noise power in DL PCC and SCC ranges was then incorporated in link analysis for MSD calculations where further assumed parameters are summarized in Table 2-2.</w:t>
      </w:r>
    </w:p>
    <w:p w14:paraId="02C2DA85" w14:textId="77777777" w:rsidR="00226ACE" w:rsidRDefault="00226ACE" w:rsidP="00226ACE">
      <w:pPr>
        <w:jc w:val="both"/>
        <w:rPr>
          <w:rFonts w:ascii="Arial" w:hAnsi="Arial" w:cs="Arial"/>
          <w:sz w:val="20"/>
          <w:szCs w:val="20"/>
          <w:lang w:val="en-GB"/>
        </w:rPr>
      </w:pPr>
    </w:p>
    <w:tbl>
      <w:tblPr>
        <w:tblW w:w="5750" w:type="dxa"/>
        <w:jc w:val="center"/>
        <w:tblLook w:val="04A0" w:firstRow="1" w:lastRow="0" w:firstColumn="1" w:lastColumn="0" w:noHBand="0" w:noVBand="1"/>
      </w:tblPr>
      <w:tblGrid>
        <w:gridCol w:w="2100"/>
        <w:gridCol w:w="1760"/>
        <w:gridCol w:w="1890"/>
      </w:tblGrid>
      <w:tr w:rsidR="00226ACE" w:rsidRPr="00F64BDA" w14:paraId="12EE4B47" w14:textId="77777777" w:rsidTr="00B8176C">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761C0AB" w14:textId="77777777" w:rsidR="00226ACE" w:rsidRPr="00F64BDA" w:rsidRDefault="00226ACE" w:rsidP="004A7442">
            <w:pPr>
              <w:rPr>
                <w:rFonts w:ascii="Arial" w:hAnsi="Arial" w:cs="Arial"/>
                <w:color w:val="000000"/>
                <w:sz w:val="18"/>
                <w:szCs w:val="18"/>
              </w:rPr>
            </w:pPr>
            <w:r w:rsidRPr="00F64BDA">
              <w:rPr>
                <w:rFonts w:ascii="Arial" w:hAnsi="Arial" w:cs="Arial"/>
                <w:color w:val="000000"/>
                <w:sz w:val="18"/>
                <w:szCs w:val="18"/>
              </w:rPr>
              <w:t>Parameter</w:t>
            </w:r>
          </w:p>
        </w:tc>
        <w:tc>
          <w:tcPr>
            <w:tcW w:w="1760" w:type="dxa"/>
            <w:tcBorders>
              <w:top w:val="single" w:sz="8" w:space="0" w:color="auto"/>
              <w:left w:val="nil"/>
              <w:bottom w:val="single" w:sz="4" w:space="0" w:color="auto"/>
              <w:right w:val="single" w:sz="4" w:space="0" w:color="auto"/>
            </w:tcBorders>
            <w:shd w:val="clear" w:color="auto" w:fill="auto"/>
            <w:noWrap/>
            <w:vAlign w:val="center"/>
            <w:hideMark/>
          </w:tcPr>
          <w:p w14:paraId="5C293B28" w14:textId="77777777" w:rsidR="00226ACE" w:rsidRPr="00F64BDA" w:rsidRDefault="00226ACE" w:rsidP="004A7442">
            <w:pPr>
              <w:rPr>
                <w:rFonts w:ascii="Arial" w:hAnsi="Arial" w:cs="Arial"/>
                <w:color w:val="000000"/>
                <w:sz w:val="18"/>
                <w:szCs w:val="18"/>
              </w:rPr>
            </w:pPr>
            <w:r w:rsidRPr="00F64BDA">
              <w:rPr>
                <w:rFonts w:ascii="Arial" w:hAnsi="Arial" w:cs="Arial"/>
                <w:color w:val="000000"/>
                <w:sz w:val="18"/>
                <w:szCs w:val="18"/>
              </w:rPr>
              <w:t>Value</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14:paraId="34CF61F9" w14:textId="77777777" w:rsidR="00226ACE" w:rsidRPr="00F64BDA" w:rsidRDefault="00226ACE" w:rsidP="004A7442">
            <w:pPr>
              <w:rPr>
                <w:rFonts w:ascii="Arial" w:hAnsi="Arial" w:cs="Arial"/>
                <w:color w:val="000000"/>
                <w:sz w:val="18"/>
                <w:szCs w:val="18"/>
              </w:rPr>
            </w:pPr>
            <w:r w:rsidRPr="00F64BDA">
              <w:rPr>
                <w:rFonts w:ascii="Arial" w:hAnsi="Arial" w:cs="Arial"/>
                <w:color w:val="000000"/>
                <w:sz w:val="18"/>
                <w:szCs w:val="18"/>
              </w:rPr>
              <w:t>Comment</w:t>
            </w:r>
          </w:p>
        </w:tc>
      </w:tr>
      <w:tr w:rsidR="00226ACE" w:rsidRPr="00F64BDA" w14:paraId="010B93BF" w14:textId="77777777" w:rsidTr="00B8176C">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ACA90A6" w14:textId="61487DEE"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1760" w:type="dxa"/>
            <w:tcBorders>
              <w:top w:val="nil"/>
              <w:left w:val="nil"/>
              <w:bottom w:val="single" w:sz="4" w:space="0" w:color="auto"/>
              <w:right w:val="single" w:sz="4" w:space="0" w:color="auto"/>
            </w:tcBorders>
            <w:shd w:val="clear" w:color="auto" w:fill="auto"/>
            <w:noWrap/>
            <w:vAlign w:val="center"/>
            <w:hideMark/>
          </w:tcPr>
          <w:p w14:paraId="281C1071" w14:textId="5D577D08"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4 dB</w:t>
            </w:r>
          </w:p>
        </w:tc>
        <w:tc>
          <w:tcPr>
            <w:tcW w:w="1890" w:type="dxa"/>
            <w:tcBorders>
              <w:top w:val="nil"/>
              <w:left w:val="nil"/>
              <w:bottom w:val="single" w:sz="4" w:space="0" w:color="auto"/>
              <w:right w:val="single" w:sz="8" w:space="0" w:color="auto"/>
            </w:tcBorders>
            <w:shd w:val="clear" w:color="auto" w:fill="auto"/>
            <w:noWrap/>
            <w:vAlign w:val="center"/>
            <w:hideMark/>
          </w:tcPr>
          <w:p w14:paraId="57AF7440" w14:textId="2D9ABD4C"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w:t>
            </w:r>
          </w:p>
        </w:tc>
      </w:tr>
      <w:tr w:rsidR="00226ACE" w:rsidRPr="00F64BDA" w14:paraId="048F5EFC" w14:textId="77777777" w:rsidTr="00B8176C">
        <w:trPr>
          <w:trHeight w:val="288"/>
          <w:jc w:val="center"/>
        </w:trPr>
        <w:tc>
          <w:tcPr>
            <w:tcW w:w="2100" w:type="dxa"/>
            <w:vMerge w:val="restart"/>
            <w:tcBorders>
              <w:top w:val="nil"/>
              <w:left w:val="single" w:sz="8" w:space="0" w:color="auto"/>
              <w:right w:val="single" w:sz="4" w:space="0" w:color="auto"/>
            </w:tcBorders>
            <w:shd w:val="clear" w:color="auto" w:fill="auto"/>
            <w:noWrap/>
            <w:vAlign w:val="center"/>
            <w:hideMark/>
          </w:tcPr>
          <w:p w14:paraId="342FA75B" w14:textId="162DA173"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1760" w:type="dxa"/>
            <w:tcBorders>
              <w:top w:val="nil"/>
              <w:left w:val="nil"/>
              <w:bottom w:val="single" w:sz="4" w:space="0" w:color="auto"/>
              <w:right w:val="single" w:sz="4" w:space="0" w:color="auto"/>
            </w:tcBorders>
            <w:shd w:val="clear" w:color="auto" w:fill="auto"/>
            <w:noWrap/>
            <w:vAlign w:val="center"/>
            <w:hideMark/>
          </w:tcPr>
          <w:p w14:paraId="233424E7" w14:textId="1F7147AB"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50 dB</w:t>
            </w:r>
          </w:p>
        </w:tc>
        <w:tc>
          <w:tcPr>
            <w:tcW w:w="1890" w:type="dxa"/>
            <w:tcBorders>
              <w:top w:val="nil"/>
              <w:left w:val="nil"/>
              <w:bottom w:val="single" w:sz="4" w:space="0" w:color="auto"/>
              <w:right w:val="single" w:sz="8" w:space="0" w:color="auto"/>
            </w:tcBorders>
            <w:shd w:val="clear" w:color="auto" w:fill="auto"/>
            <w:noWrap/>
            <w:vAlign w:val="center"/>
            <w:hideMark/>
          </w:tcPr>
          <w:p w14:paraId="227884E7" w14:textId="72A6A649"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Tx to Rx</w:t>
            </w:r>
          </w:p>
        </w:tc>
      </w:tr>
      <w:tr w:rsidR="00226ACE" w:rsidRPr="00F64BDA" w14:paraId="2CE6E5AB" w14:textId="77777777" w:rsidTr="00B8176C">
        <w:trPr>
          <w:trHeight w:val="288"/>
          <w:jc w:val="center"/>
        </w:trPr>
        <w:tc>
          <w:tcPr>
            <w:tcW w:w="2100" w:type="dxa"/>
            <w:vMerge/>
            <w:tcBorders>
              <w:left w:val="single" w:sz="8" w:space="0" w:color="auto"/>
              <w:bottom w:val="single" w:sz="4" w:space="0" w:color="auto"/>
              <w:right w:val="single" w:sz="4" w:space="0" w:color="auto"/>
            </w:tcBorders>
            <w:shd w:val="clear" w:color="auto" w:fill="auto"/>
            <w:noWrap/>
            <w:vAlign w:val="center"/>
            <w:hideMark/>
          </w:tcPr>
          <w:p w14:paraId="0B3BA934" w14:textId="6EBB9DFC" w:rsidR="00226ACE" w:rsidRPr="00F64BDA" w:rsidRDefault="00226ACE" w:rsidP="00226ACE">
            <w:pPr>
              <w:rPr>
                <w:rFonts w:ascii="Arial" w:hAnsi="Arial" w:cs="Arial"/>
                <w:color w:val="000000"/>
                <w:sz w:val="18"/>
                <w:szCs w:val="18"/>
              </w:rPr>
            </w:pPr>
          </w:p>
        </w:tc>
        <w:tc>
          <w:tcPr>
            <w:tcW w:w="1760" w:type="dxa"/>
            <w:tcBorders>
              <w:top w:val="nil"/>
              <w:left w:val="nil"/>
              <w:bottom w:val="single" w:sz="4" w:space="0" w:color="auto"/>
              <w:right w:val="single" w:sz="4" w:space="0" w:color="auto"/>
            </w:tcBorders>
            <w:shd w:val="clear" w:color="auto" w:fill="auto"/>
            <w:noWrap/>
            <w:vAlign w:val="center"/>
            <w:hideMark/>
          </w:tcPr>
          <w:p w14:paraId="0AD6DBD7" w14:textId="6700DB0A"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42 dB</w:t>
            </w:r>
          </w:p>
        </w:tc>
        <w:tc>
          <w:tcPr>
            <w:tcW w:w="1890" w:type="dxa"/>
            <w:tcBorders>
              <w:top w:val="nil"/>
              <w:left w:val="nil"/>
              <w:bottom w:val="single" w:sz="4" w:space="0" w:color="auto"/>
              <w:right w:val="single" w:sz="8" w:space="0" w:color="auto"/>
            </w:tcBorders>
            <w:shd w:val="clear" w:color="auto" w:fill="auto"/>
            <w:noWrap/>
            <w:vAlign w:val="center"/>
            <w:hideMark/>
          </w:tcPr>
          <w:p w14:paraId="6FBC7BD1" w14:textId="7A10D728"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Tx to ANT</w:t>
            </w:r>
          </w:p>
        </w:tc>
      </w:tr>
      <w:tr w:rsidR="00226ACE" w:rsidRPr="00F64BDA" w14:paraId="4EAEA535"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105A02C" w14:textId="6FF6A737"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3FDE83AA" w14:textId="338C067A"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10 dB</w:t>
            </w:r>
          </w:p>
        </w:tc>
        <w:tc>
          <w:tcPr>
            <w:tcW w:w="1890" w:type="dxa"/>
            <w:tcBorders>
              <w:top w:val="single" w:sz="4" w:space="0" w:color="auto"/>
              <w:left w:val="nil"/>
              <w:bottom w:val="single" w:sz="4" w:space="0" w:color="auto"/>
              <w:right w:val="single" w:sz="8" w:space="0" w:color="auto"/>
            </w:tcBorders>
            <w:shd w:val="clear" w:color="auto" w:fill="auto"/>
            <w:noWrap/>
            <w:vAlign w:val="center"/>
            <w:hideMark/>
          </w:tcPr>
          <w:p w14:paraId="566DD5C4" w14:textId="6803A41B" w:rsidR="00226ACE" w:rsidRPr="00F64BDA" w:rsidRDefault="00226ACE" w:rsidP="00226ACE">
            <w:pPr>
              <w:rPr>
                <w:rFonts w:ascii="Arial" w:hAnsi="Arial" w:cs="Arial"/>
                <w:color w:val="000000"/>
                <w:sz w:val="18"/>
                <w:szCs w:val="18"/>
              </w:rPr>
            </w:pPr>
            <w:r w:rsidRPr="00F64BDA">
              <w:rPr>
                <w:rFonts w:ascii="Arial" w:hAnsi="Arial" w:cs="Arial"/>
                <w:color w:val="000000"/>
                <w:sz w:val="18"/>
                <w:szCs w:val="18"/>
              </w:rPr>
              <w:t>Main to diversity</w:t>
            </w:r>
          </w:p>
        </w:tc>
      </w:tr>
      <w:tr w:rsidR="00226ACE" w:rsidRPr="00F64BDA" w14:paraId="06A5161A" w14:textId="77777777" w:rsidTr="00B8176C">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8607213" w14:textId="5E8F6D5D" w:rsidR="00226ACE" w:rsidRPr="00F64BDA" w:rsidRDefault="00226ACE" w:rsidP="00226ACE">
            <w:pPr>
              <w:rPr>
                <w:rFonts w:ascii="Arial" w:hAnsi="Arial" w:cs="Arial"/>
                <w:color w:val="000000"/>
                <w:sz w:val="18"/>
                <w:szCs w:val="18"/>
              </w:rPr>
            </w:pPr>
            <w:r>
              <w:rPr>
                <w:rFonts w:ascii="Arial" w:hAnsi="Arial" w:cs="Arial"/>
                <w:color w:val="000000"/>
                <w:sz w:val="18"/>
                <w:szCs w:val="18"/>
              </w:rPr>
              <w:t>MRC</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370519F8" w14:textId="77777777" w:rsidR="00226ACE" w:rsidRPr="00F64BDA" w:rsidRDefault="00226ACE" w:rsidP="00226ACE">
            <w:pPr>
              <w:rPr>
                <w:rFonts w:ascii="Arial" w:hAnsi="Arial" w:cs="Arial"/>
                <w:color w:val="000000"/>
                <w:sz w:val="18"/>
                <w:szCs w:val="18"/>
              </w:rPr>
            </w:pPr>
          </w:p>
        </w:tc>
        <w:tc>
          <w:tcPr>
            <w:tcW w:w="1890" w:type="dxa"/>
            <w:tcBorders>
              <w:top w:val="single" w:sz="4" w:space="0" w:color="auto"/>
              <w:left w:val="nil"/>
              <w:bottom w:val="single" w:sz="4" w:space="0" w:color="auto"/>
              <w:right w:val="single" w:sz="8" w:space="0" w:color="auto"/>
            </w:tcBorders>
            <w:shd w:val="clear" w:color="auto" w:fill="auto"/>
            <w:noWrap/>
            <w:vAlign w:val="center"/>
          </w:tcPr>
          <w:p w14:paraId="59C21B7B" w14:textId="0754F150" w:rsidR="00226ACE" w:rsidRPr="00F64BDA" w:rsidRDefault="00226ACE" w:rsidP="00226ACE">
            <w:pPr>
              <w:rPr>
                <w:rFonts w:ascii="Arial" w:hAnsi="Arial" w:cs="Arial"/>
                <w:color w:val="000000"/>
                <w:sz w:val="18"/>
                <w:szCs w:val="18"/>
              </w:rPr>
            </w:pPr>
            <w:r>
              <w:rPr>
                <w:rFonts w:ascii="Arial" w:hAnsi="Arial" w:cs="Arial"/>
                <w:color w:val="000000"/>
                <w:sz w:val="18"/>
                <w:szCs w:val="18"/>
              </w:rPr>
              <w:t>Uncorrelated</w:t>
            </w:r>
          </w:p>
        </w:tc>
      </w:tr>
    </w:tbl>
    <w:p w14:paraId="2508A2FE" w14:textId="77777777" w:rsidR="00226ACE" w:rsidRDefault="00226ACE" w:rsidP="00AC5C6A">
      <w:pPr>
        <w:jc w:val="both"/>
        <w:rPr>
          <w:rFonts w:ascii="Arial" w:hAnsi="Arial" w:cs="Arial"/>
          <w:sz w:val="20"/>
          <w:szCs w:val="20"/>
          <w:lang w:val="en-GB"/>
        </w:rPr>
      </w:pPr>
    </w:p>
    <w:p w14:paraId="79D8048C" w14:textId="4844E548" w:rsidR="00226ACE" w:rsidRPr="00AB6913" w:rsidRDefault="00AC5C6A" w:rsidP="00AC5C6A">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 Assumed parameters for CA_n26(2A) MSD link analysis</w:t>
      </w:r>
    </w:p>
    <w:p w14:paraId="571A5312" w14:textId="77777777" w:rsidR="000C59CD" w:rsidRDefault="000C59CD" w:rsidP="000C59CD">
      <w:pPr>
        <w:jc w:val="both"/>
        <w:rPr>
          <w:rFonts w:ascii="Arial" w:hAnsi="Arial" w:cs="Arial"/>
          <w:sz w:val="20"/>
          <w:szCs w:val="20"/>
        </w:rPr>
      </w:pPr>
    </w:p>
    <w:p w14:paraId="6DE72C7E" w14:textId="18FB68B0" w:rsidR="00AC5C6A" w:rsidRDefault="00AC5C6A" w:rsidP="00B959E4">
      <w:pPr>
        <w:spacing w:after="120"/>
        <w:jc w:val="both"/>
        <w:rPr>
          <w:rFonts w:ascii="Arial" w:hAnsi="Arial" w:cs="Arial"/>
          <w:sz w:val="20"/>
          <w:szCs w:val="20"/>
        </w:rPr>
      </w:pPr>
      <w:r>
        <w:rPr>
          <w:rFonts w:ascii="Arial" w:hAnsi="Arial" w:cs="Arial"/>
          <w:sz w:val="20"/>
          <w:szCs w:val="20"/>
        </w:rPr>
        <w:t>In the MSD link analysis, apart from the Tx noise generated from PA</w:t>
      </w:r>
      <w:r w:rsidR="00B8176C">
        <w:rPr>
          <w:rFonts w:ascii="Arial" w:hAnsi="Arial" w:cs="Arial"/>
          <w:sz w:val="20"/>
          <w:szCs w:val="20"/>
        </w:rPr>
        <w:t xml:space="preserve"> nonlinearity</w:t>
      </w:r>
      <w:r>
        <w:rPr>
          <w:rFonts w:ascii="Arial" w:hAnsi="Arial" w:cs="Arial"/>
          <w:sz w:val="20"/>
          <w:szCs w:val="20"/>
        </w:rPr>
        <w:t>, other RF impairments such as passive components IMD and LNA IMD were also considered</w:t>
      </w:r>
      <w:r w:rsidR="00B959E4">
        <w:rPr>
          <w:rFonts w:ascii="Arial" w:hAnsi="Arial" w:cs="Arial"/>
          <w:sz w:val="20"/>
          <w:szCs w:val="20"/>
        </w:rPr>
        <w:t xml:space="preserve"> which however have much less noise contribution than PA.</w:t>
      </w:r>
      <w:r w:rsidR="00B8176C">
        <w:rPr>
          <w:rFonts w:ascii="Arial" w:hAnsi="Arial" w:cs="Arial"/>
          <w:sz w:val="20"/>
          <w:szCs w:val="20"/>
        </w:rPr>
        <w:t xml:space="preserve"> In the case of 2Tx implementation with one Tx for each UL carrier, the MSD would be dominated by the PA reversed IMD.</w:t>
      </w:r>
    </w:p>
    <w:p w14:paraId="78A6AE88" w14:textId="77777777" w:rsidR="00AC5C6A" w:rsidRDefault="00AC5C6A" w:rsidP="000C59CD">
      <w:pPr>
        <w:jc w:val="both"/>
        <w:rPr>
          <w:rFonts w:ascii="Arial" w:hAnsi="Arial" w:cs="Arial"/>
          <w:sz w:val="20"/>
          <w:szCs w:val="20"/>
        </w:rPr>
      </w:pPr>
    </w:p>
    <w:p w14:paraId="7E9721E0" w14:textId="0737B860" w:rsidR="000C59CD" w:rsidRPr="0040649B" w:rsidRDefault="000C59CD" w:rsidP="000C59CD">
      <w:pPr>
        <w:spacing w:after="120"/>
        <w:jc w:val="both"/>
        <w:rPr>
          <w:rFonts w:ascii="Arial" w:hAnsi="Arial" w:cs="Arial"/>
          <w:i/>
          <w:iCs/>
          <w:sz w:val="20"/>
          <w:szCs w:val="20"/>
        </w:rPr>
      </w:pPr>
      <w:r w:rsidRPr="0040649B">
        <w:rPr>
          <w:rFonts w:ascii="Arial" w:hAnsi="Arial" w:cs="Arial"/>
          <w:b/>
          <w:bCs/>
          <w:i/>
          <w:iCs/>
          <w:sz w:val="20"/>
          <w:szCs w:val="20"/>
        </w:rPr>
        <w:t xml:space="preserve">Observation </w:t>
      </w:r>
      <w:r>
        <w:rPr>
          <w:rFonts w:ascii="Arial" w:hAnsi="Arial" w:cs="Arial"/>
          <w:b/>
          <w:bCs/>
          <w:i/>
          <w:iCs/>
          <w:sz w:val="20"/>
          <w:szCs w:val="20"/>
        </w:rPr>
        <w:t>3</w:t>
      </w:r>
      <w:r w:rsidRPr="0040649B">
        <w:rPr>
          <w:rFonts w:ascii="Arial" w:hAnsi="Arial" w:cs="Arial"/>
          <w:i/>
          <w:iCs/>
          <w:sz w:val="20"/>
          <w:szCs w:val="20"/>
        </w:rPr>
        <w:t xml:space="preserve">: </w:t>
      </w:r>
      <w:r w:rsidR="00B959E4">
        <w:rPr>
          <w:rFonts w:ascii="Arial" w:hAnsi="Arial" w:cs="Arial"/>
          <w:i/>
          <w:iCs/>
          <w:sz w:val="20"/>
          <w:szCs w:val="20"/>
        </w:rPr>
        <w:t>Among all the RF impairments contributing to MSD, Tx noise generated from PA</w:t>
      </w:r>
      <w:r w:rsidR="00B8176C">
        <w:rPr>
          <w:rFonts w:ascii="Arial" w:hAnsi="Arial" w:cs="Arial"/>
          <w:i/>
          <w:iCs/>
          <w:sz w:val="20"/>
          <w:szCs w:val="20"/>
        </w:rPr>
        <w:t xml:space="preserve"> nonlinearity dominates. </w:t>
      </w:r>
      <w:r w:rsidR="00B959E4">
        <w:rPr>
          <w:rFonts w:ascii="Arial" w:hAnsi="Arial" w:cs="Arial"/>
          <w:i/>
          <w:iCs/>
          <w:sz w:val="20"/>
          <w:szCs w:val="20"/>
        </w:rPr>
        <w:t xml:space="preserve"> </w:t>
      </w:r>
    </w:p>
    <w:p w14:paraId="06FB80DF" w14:textId="77777777" w:rsidR="000C59CD" w:rsidRDefault="000C59CD" w:rsidP="000C59CD">
      <w:pPr>
        <w:jc w:val="both"/>
        <w:rPr>
          <w:rFonts w:ascii="Arial" w:hAnsi="Arial" w:cs="Arial"/>
          <w:sz w:val="20"/>
          <w:szCs w:val="20"/>
        </w:rPr>
      </w:pPr>
    </w:p>
    <w:p w14:paraId="798B8D1A" w14:textId="2AD2D9CB" w:rsidR="000C59CD" w:rsidRPr="0040649B" w:rsidRDefault="000C59CD" w:rsidP="000C59CD">
      <w:pPr>
        <w:spacing w:after="120"/>
        <w:jc w:val="both"/>
        <w:rPr>
          <w:rFonts w:ascii="Arial" w:hAnsi="Arial" w:cs="Arial"/>
          <w:i/>
          <w:iCs/>
          <w:sz w:val="20"/>
          <w:szCs w:val="20"/>
        </w:rPr>
      </w:pPr>
      <w:r w:rsidRPr="0040649B">
        <w:rPr>
          <w:rFonts w:ascii="Arial" w:hAnsi="Arial" w:cs="Arial"/>
          <w:b/>
          <w:bCs/>
          <w:i/>
          <w:iCs/>
          <w:sz w:val="20"/>
          <w:szCs w:val="20"/>
        </w:rPr>
        <w:t xml:space="preserve">Observation </w:t>
      </w:r>
      <w:r>
        <w:rPr>
          <w:rFonts w:ascii="Arial" w:hAnsi="Arial" w:cs="Arial"/>
          <w:b/>
          <w:bCs/>
          <w:i/>
          <w:iCs/>
          <w:sz w:val="20"/>
          <w:szCs w:val="20"/>
        </w:rPr>
        <w:t>4</w:t>
      </w:r>
      <w:r w:rsidRPr="0040649B">
        <w:rPr>
          <w:rFonts w:ascii="Arial" w:hAnsi="Arial" w:cs="Arial"/>
          <w:i/>
          <w:iCs/>
          <w:sz w:val="20"/>
          <w:szCs w:val="20"/>
        </w:rPr>
        <w:t xml:space="preserve">: </w:t>
      </w:r>
      <w:r w:rsidR="00B8176C">
        <w:rPr>
          <w:rFonts w:ascii="Arial" w:hAnsi="Arial" w:cs="Arial"/>
          <w:i/>
          <w:iCs/>
          <w:sz w:val="20"/>
          <w:szCs w:val="20"/>
        </w:rPr>
        <w:t xml:space="preserve">In the case of </w:t>
      </w:r>
      <w:r w:rsidR="00B8176C" w:rsidRPr="00B8176C">
        <w:rPr>
          <w:rFonts w:ascii="Arial" w:hAnsi="Arial" w:cs="Arial"/>
          <w:i/>
          <w:iCs/>
          <w:sz w:val="20"/>
          <w:szCs w:val="20"/>
        </w:rPr>
        <w:t>2Tx implementation with one Tx for each UL carrier, the MSD would be dominated by the PA reversed IMD.</w:t>
      </w:r>
    </w:p>
    <w:p w14:paraId="79B11115" w14:textId="77777777" w:rsidR="000C59CD" w:rsidRDefault="000C59CD" w:rsidP="000C59CD">
      <w:pPr>
        <w:jc w:val="both"/>
        <w:rPr>
          <w:rFonts w:ascii="Arial" w:hAnsi="Arial" w:cs="Arial"/>
          <w:sz w:val="20"/>
          <w:szCs w:val="20"/>
          <w:lang w:val="en-GB"/>
        </w:rPr>
      </w:pPr>
    </w:p>
    <w:p w14:paraId="06B3CC8B" w14:textId="4171ABDE" w:rsidR="00B8176C" w:rsidRDefault="00B8176C" w:rsidP="00B8176C">
      <w:pPr>
        <w:spacing w:after="120"/>
        <w:jc w:val="both"/>
        <w:rPr>
          <w:rFonts w:ascii="Arial" w:hAnsi="Arial" w:cs="Arial"/>
          <w:sz w:val="20"/>
          <w:szCs w:val="20"/>
          <w:lang w:val="en-GB"/>
        </w:rPr>
      </w:pPr>
      <w:r>
        <w:rPr>
          <w:rFonts w:ascii="Arial" w:hAnsi="Arial" w:cs="Arial"/>
          <w:sz w:val="20"/>
          <w:szCs w:val="20"/>
          <w:lang w:val="en-GB"/>
        </w:rPr>
        <w:t xml:space="preserve">Table 2-3 summarizes the </w:t>
      </w:r>
      <w:r w:rsidR="00893C70">
        <w:rPr>
          <w:rFonts w:ascii="Arial" w:hAnsi="Arial" w:cs="Arial"/>
          <w:sz w:val="20"/>
          <w:szCs w:val="20"/>
          <w:lang w:val="en-GB"/>
        </w:rPr>
        <w:t xml:space="preserve">calculated </w:t>
      </w:r>
      <w:r>
        <w:rPr>
          <w:rFonts w:ascii="Arial" w:hAnsi="Arial" w:cs="Arial"/>
          <w:sz w:val="20"/>
          <w:szCs w:val="20"/>
          <w:lang w:val="en-GB"/>
        </w:rPr>
        <w:t>MSD results for the CA configuration as shown in Figure 2-1.</w:t>
      </w:r>
    </w:p>
    <w:p w14:paraId="2567F6AC" w14:textId="77777777" w:rsidR="00B8176C" w:rsidRDefault="00B8176C" w:rsidP="000C59CD">
      <w:pPr>
        <w:jc w:val="both"/>
        <w:rPr>
          <w:rFonts w:ascii="Arial" w:hAnsi="Arial" w:cs="Arial"/>
          <w:sz w:val="20"/>
          <w:szCs w:val="20"/>
          <w:lang w:val="en-GB"/>
        </w:rPr>
      </w:pPr>
    </w:p>
    <w:tbl>
      <w:tblPr>
        <w:tblW w:w="5770" w:type="dxa"/>
        <w:jc w:val="center"/>
        <w:tblLook w:val="04A0" w:firstRow="1" w:lastRow="0" w:firstColumn="1" w:lastColumn="0" w:noHBand="0" w:noVBand="1"/>
      </w:tblPr>
      <w:tblGrid>
        <w:gridCol w:w="1980"/>
        <w:gridCol w:w="1900"/>
        <w:gridCol w:w="1890"/>
      </w:tblGrid>
      <w:tr w:rsidR="00B8176C" w:rsidRPr="00F64BDA" w14:paraId="0DDB87BD" w14:textId="77777777" w:rsidTr="00AB6913">
        <w:trPr>
          <w:trHeight w:val="288"/>
          <w:jc w:val="center"/>
        </w:trPr>
        <w:tc>
          <w:tcPr>
            <w:tcW w:w="19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9F16624" w14:textId="30452914" w:rsidR="00B8176C" w:rsidRPr="00F64BDA" w:rsidRDefault="00B8176C" w:rsidP="00B8176C">
            <w:pPr>
              <w:jc w:val="center"/>
              <w:rPr>
                <w:rFonts w:ascii="Arial" w:hAnsi="Arial" w:cs="Arial"/>
                <w:color w:val="000000"/>
                <w:sz w:val="18"/>
                <w:szCs w:val="18"/>
              </w:rPr>
            </w:pPr>
            <w:r>
              <w:rPr>
                <w:rFonts w:ascii="Arial" w:hAnsi="Arial" w:cs="Arial"/>
                <w:color w:val="000000"/>
                <w:sz w:val="18"/>
                <w:szCs w:val="18"/>
              </w:rPr>
              <w:t>UE Architecture</w:t>
            </w:r>
          </w:p>
        </w:tc>
        <w:tc>
          <w:tcPr>
            <w:tcW w:w="1900" w:type="dxa"/>
            <w:tcBorders>
              <w:top w:val="single" w:sz="8" w:space="0" w:color="auto"/>
              <w:left w:val="nil"/>
              <w:bottom w:val="single" w:sz="4" w:space="0" w:color="auto"/>
              <w:right w:val="single" w:sz="4" w:space="0" w:color="auto"/>
            </w:tcBorders>
            <w:shd w:val="clear" w:color="auto" w:fill="auto"/>
            <w:noWrap/>
            <w:vAlign w:val="center"/>
            <w:hideMark/>
          </w:tcPr>
          <w:p w14:paraId="6CE86365" w14:textId="747817AB" w:rsidR="00B8176C" w:rsidRPr="00F64BDA" w:rsidRDefault="00B8176C" w:rsidP="00B8176C">
            <w:pPr>
              <w:jc w:val="center"/>
              <w:rPr>
                <w:rFonts w:ascii="Arial" w:hAnsi="Arial" w:cs="Arial"/>
                <w:color w:val="000000"/>
                <w:sz w:val="18"/>
                <w:szCs w:val="18"/>
              </w:rPr>
            </w:pPr>
            <w:r>
              <w:rPr>
                <w:rFonts w:ascii="Arial" w:hAnsi="Arial" w:cs="Arial"/>
                <w:color w:val="000000"/>
                <w:sz w:val="18"/>
                <w:szCs w:val="18"/>
              </w:rPr>
              <w:t>PCC MSD</w:t>
            </w:r>
            <w:r w:rsidR="00273BA8">
              <w:rPr>
                <w:rFonts w:ascii="Arial" w:hAnsi="Arial" w:cs="Arial"/>
                <w:color w:val="000000"/>
                <w:sz w:val="18"/>
                <w:szCs w:val="18"/>
              </w:rPr>
              <w:t xml:space="preserve"> (IMD3)</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14:paraId="2A39FE3F" w14:textId="18B377A1" w:rsidR="00B8176C" w:rsidRPr="00F64BDA" w:rsidRDefault="00B8176C" w:rsidP="00B8176C">
            <w:pPr>
              <w:jc w:val="center"/>
              <w:rPr>
                <w:rFonts w:ascii="Arial" w:hAnsi="Arial" w:cs="Arial"/>
                <w:color w:val="000000"/>
                <w:sz w:val="18"/>
                <w:szCs w:val="18"/>
              </w:rPr>
            </w:pPr>
            <w:r>
              <w:rPr>
                <w:rFonts w:ascii="Arial" w:hAnsi="Arial" w:cs="Arial"/>
                <w:color w:val="000000"/>
                <w:sz w:val="18"/>
                <w:szCs w:val="18"/>
              </w:rPr>
              <w:t>SCC MSD</w:t>
            </w:r>
            <w:r w:rsidR="00273BA8">
              <w:rPr>
                <w:rFonts w:ascii="Arial" w:hAnsi="Arial" w:cs="Arial"/>
                <w:color w:val="000000"/>
                <w:sz w:val="18"/>
                <w:szCs w:val="18"/>
              </w:rPr>
              <w:t xml:space="preserve"> (IMD5)</w:t>
            </w:r>
          </w:p>
        </w:tc>
      </w:tr>
      <w:tr w:rsidR="00B8176C" w:rsidRPr="00F64BDA" w14:paraId="10AB5846" w14:textId="77777777" w:rsidTr="00AB6913">
        <w:trPr>
          <w:trHeight w:val="288"/>
          <w:jc w:val="center"/>
        </w:trPr>
        <w:tc>
          <w:tcPr>
            <w:tcW w:w="198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9F310C3" w14:textId="0332BC4E" w:rsidR="00B8176C" w:rsidRPr="00F64BDA" w:rsidRDefault="00B8176C" w:rsidP="00B8176C">
            <w:pPr>
              <w:jc w:val="center"/>
              <w:rPr>
                <w:rFonts w:ascii="Arial" w:hAnsi="Arial" w:cs="Arial"/>
                <w:color w:val="000000"/>
                <w:sz w:val="18"/>
                <w:szCs w:val="18"/>
              </w:rPr>
            </w:pPr>
            <w:r>
              <w:rPr>
                <w:rFonts w:ascii="Arial" w:hAnsi="Arial" w:cs="Arial"/>
                <w:color w:val="000000"/>
                <w:sz w:val="18"/>
                <w:szCs w:val="18"/>
              </w:rPr>
              <w:t>1Tx</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3CD6DE09" w14:textId="58936CF0" w:rsidR="00B8176C" w:rsidRPr="00F64BDA" w:rsidRDefault="00B8176C" w:rsidP="00B8176C">
            <w:pPr>
              <w:jc w:val="center"/>
              <w:rPr>
                <w:rFonts w:ascii="Arial" w:hAnsi="Arial" w:cs="Arial"/>
                <w:color w:val="000000"/>
                <w:sz w:val="18"/>
                <w:szCs w:val="18"/>
              </w:rPr>
            </w:pPr>
            <w:r w:rsidRPr="00F64BDA">
              <w:rPr>
                <w:rFonts w:ascii="Arial" w:hAnsi="Arial" w:cs="Arial"/>
                <w:color w:val="000000"/>
                <w:sz w:val="18"/>
                <w:szCs w:val="18"/>
              </w:rPr>
              <w:t>4</w:t>
            </w:r>
            <w:r w:rsidR="00893C70">
              <w:rPr>
                <w:rFonts w:ascii="Arial" w:hAnsi="Arial" w:cs="Arial"/>
                <w:color w:val="000000"/>
                <w:sz w:val="18"/>
                <w:szCs w:val="18"/>
              </w:rPr>
              <w:t>7.5</w:t>
            </w:r>
            <w:r w:rsidRPr="00F64BDA">
              <w:rPr>
                <w:rFonts w:ascii="Arial" w:hAnsi="Arial" w:cs="Arial"/>
                <w:color w:val="000000"/>
                <w:sz w:val="18"/>
                <w:szCs w:val="18"/>
              </w:rPr>
              <w:t xml:space="preserve"> dB</w:t>
            </w:r>
          </w:p>
        </w:tc>
        <w:tc>
          <w:tcPr>
            <w:tcW w:w="1890" w:type="dxa"/>
            <w:tcBorders>
              <w:top w:val="single" w:sz="4" w:space="0" w:color="auto"/>
              <w:left w:val="nil"/>
              <w:bottom w:val="single" w:sz="4" w:space="0" w:color="auto"/>
              <w:right w:val="single" w:sz="8" w:space="0" w:color="auto"/>
            </w:tcBorders>
            <w:shd w:val="clear" w:color="auto" w:fill="auto"/>
            <w:noWrap/>
            <w:vAlign w:val="center"/>
            <w:hideMark/>
          </w:tcPr>
          <w:p w14:paraId="1A10C6E7" w14:textId="0157A97D" w:rsidR="00B8176C" w:rsidRPr="00F64BDA" w:rsidRDefault="00893C70" w:rsidP="00B8176C">
            <w:pPr>
              <w:jc w:val="center"/>
              <w:rPr>
                <w:rFonts w:ascii="Arial" w:hAnsi="Arial" w:cs="Arial"/>
                <w:color w:val="000000"/>
                <w:sz w:val="18"/>
                <w:szCs w:val="18"/>
              </w:rPr>
            </w:pPr>
            <w:r>
              <w:rPr>
                <w:rFonts w:ascii="Arial" w:hAnsi="Arial" w:cs="Arial"/>
                <w:color w:val="000000"/>
                <w:sz w:val="18"/>
                <w:szCs w:val="18"/>
              </w:rPr>
              <w:t>30.5 dB</w:t>
            </w:r>
          </w:p>
        </w:tc>
      </w:tr>
      <w:tr w:rsidR="00B8176C" w:rsidRPr="00F64BDA" w14:paraId="113483CF" w14:textId="77777777" w:rsidTr="00AB6913">
        <w:trPr>
          <w:trHeight w:val="288"/>
          <w:jc w:val="center"/>
        </w:trPr>
        <w:tc>
          <w:tcPr>
            <w:tcW w:w="198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54CD1DE" w14:textId="24B822AA" w:rsidR="00B8176C" w:rsidRDefault="00893C70" w:rsidP="00B8176C">
            <w:pPr>
              <w:jc w:val="center"/>
              <w:rPr>
                <w:rFonts w:ascii="Arial" w:hAnsi="Arial" w:cs="Arial"/>
                <w:color w:val="000000"/>
                <w:sz w:val="18"/>
                <w:szCs w:val="18"/>
              </w:rPr>
            </w:pPr>
            <w:r>
              <w:rPr>
                <w:rFonts w:ascii="Arial" w:hAnsi="Arial" w:cs="Arial"/>
                <w:color w:val="000000"/>
                <w:sz w:val="18"/>
                <w:szCs w:val="18"/>
              </w:rPr>
              <w:t>2Tx</w:t>
            </w:r>
          </w:p>
        </w:tc>
        <w:tc>
          <w:tcPr>
            <w:tcW w:w="1900" w:type="dxa"/>
            <w:tcBorders>
              <w:top w:val="single" w:sz="4" w:space="0" w:color="auto"/>
              <w:left w:val="nil"/>
              <w:bottom w:val="single" w:sz="4" w:space="0" w:color="auto"/>
              <w:right w:val="single" w:sz="4" w:space="0" w:color="auto"/>
            </w:tcBorders>
            <w:shd w:val="clear" w:color="auto" w:fill="auto"/>
            <w:noWrap/>
            <w:vAlign w:val="center"/>
          </w:tcPr>
          <w:p w14:paraId="3F1BF921" w14:textId="3D55A722" w:rsidR="00B8176C" w:rsidRPr="00F64BDA" w:rsidRDefault="00893C70" w:rsidP="00B8176C">
            <w:pPr>
              <w:jc w:val="center"/>
              <w:rPr>
                <w:rFonts w:ascii="Arial" w:hAnsi="Arial" w:cs="Arial"/>
                <w:color w:val="000000"/>
                <w:sz w:val="18"/>
                <w:szCs w:val="18"/>
              </w:rPr>
            </w:pPr>
            <w:r>
              <w:rPr>
                <w:rFonts w:ascii="Arial" w:hAnsi="Arial" w:cs="Arial"/>
                <w:color w:val="000000"/>
                <w:sz w:val="18"/>
                <w:szCs w:val="18"/>
              </w:rPr>
              <w:t>46.5 dB</w:t>
            </w:r>
          </w:p>
        </w:tc>
        <w:tc>
          <w:tcPr>
            <w:tcW w:w="1890" w:type="dxa"/>
            <w:tcBorders>
              <w:top w:val="single" w:sz="4" w:space="0" w:color="auto"/>
              <w:left w:val="nil"/>
              <w:bottom w:val="single" w:sz="4" w:space="0" w:color="auto"/>
              <w:right w:val="single" w:sz="8" w:space="0" w:color="auto"/>
            </w:tcBorders>
            <w:shd w:val="clear" w:color="auto" w:fill="auto"/>
            <w:noWrap/>
            <w:vAlign w:val="center"/>
          </w:tcPr>
          <w:p w14:paraId="2F314BC5" w14:textId="54820556" w:rsidR="00B8176C" w:rsidRPr="00F64BDA" w:rsidRDefault="00893C70" w:rsidP="00B8176C">
            <w:pPr>
              <w:jc w:val="center"/>
              <w:rPr>
                <w:rFonts w:ascii="Arial" w:hAnsi="Arial" w:cs="Arial"/>
                <w:color w:val="000000"/>
                <w:sz w:val="18"/>
                <w:szCs w:val="18"/>
              </w:rPr>
            </w:pPr>
            <w:r>
              <w:rPr>
                <w:rFonts w:ascii="Arial" w:hAnsi="Arial" w:cs="Arial"/>
                <w:color w:val="000000"/>
                <w:sz w:val="18"/>
                <w:szCs w:val="18"/>
              </w:rPr>
              <w:t>11.8 dB</w:t>
            </w:r>
          </w:p>
        </w:tc>
      </w:tr>
    </w:tbl>
    <w:p w14:paraId="6EC6EAAF" w14:textId="77777777" w:rsidR="00B8176C" w:rsidRPr="00B8176C" w:rsidRDefault="00B8176C" w:rsidP="00893C70">
      <w:pPr>
        <w:jc w:val="both"/>
        <w:rPr>
          <w:rFonts w:ascii="Arial" w:hAnsi="Arial" w:cs="Arial"/>
          <w:sz w:val="20"/>
          <w:szCs w:val="20"/>
          <w:lang w:val="en-GB"/>
        </w:rPr>
      </w:pPr>
    </w:p>
    <w:p w14:paraId="7523D67C" w14:textId="2BDA1D65" w:rsidR="00B8176C" w:rsidRPr="00893C70" w:rsidRDefault="00893C70" w:rsidP="00893C70">
      <w:pPr>
        <w:spacing w:after="120"/>
        <w:jc w:val="center"/>
        <w:rPr>
          <w:rFonts w:ascii="Arial" w:hAnsi="Arial" w:cs="Arial"/>
          <w:b/>
          <w:bCs/>
          <w:sz w:val="20"/>
          <w:szCs w:val="20"/>
          <w:lang w:val="en-GB"/>
        </w:rPr>
      </w:pPr>
      <w:r w:rsidRPr="00893C70">
        <w:rPr>
          <w:rFonts w:ascii="Arial" w:hAnsi="Arial" w:cs="Arial"/>
          <w:b/>
          <w:bCs/>
          <w:sz w:val="20"/>
          <w:szCs w:val="20"/>
        </w:rPr>
        <w:t xml:space="preserve">Table 2-3 Calculated MSD results for CA_n26(2A) configuration as shown </w:t>
      </w:r>
      <w:r w:rsidRPr="00893C70">
        <w:rPr>
          <w:rFonts w:ascii="Arial" w:hAnsi="Arial" w:cs="Arial"/>
          <w:b/>
          <w:bCs/>
          <w:sz w:val="20"/>
          <w:szCs w:val="20"/>
          <w:lang w:val="en-GB"/>
        </w:rPr>
        <w:t>in Figure 2-1</w:t>
      </w:r>
    </w:p>
    <w:p w14:paraId="57D3E2B5" w14:textId="03C061BB" w:rsidR="00273BA8" w:rsidRPr="00273BA8" w:rsidRDefault="00273BA8" w:rsidP="000C59CD">
      <w:pPr>
        <w:spacing w:after="120"/>
        <w:jc w:val="both"/>
        <w:rPr>
          <w:rFonts w:ascii="Arial" w:hAnsi="Arial" w:cs="Arial"/>
          <w:sz w:val="20"/>
          <w:szCs w:val="20"/>
        </w:rPr>
      </w:pPr>
      <w:r w:rsidRPr="00273BA8">
        <w:rPr>
          <w:rFonts w:ascii="Arial" w:hAnsi="Arial" w:cs="Arial"/>
          <w:sz w:val="20"/>
          <w:szCs w:val="20"/>
        </w:rPr>
        <w:lastRenderedPageBreak/>
        <w:t xml:space="preserve">It can be seen that the MSD caused by IMD3 is quite substantial which </w:t>
      </w:r>
      <w:r w:rsidRPr="00273BA8">
        <w:rPr>
          <w:rFonts w:ascii="Arial" w:hAnsi="Arial" w:cs="Arial"/>
          <w:sz w:val="20"/>
          <w:szCs w:val="20"/>
          <w:lang w:val="en-GB"/>
        </w:rPr>
        <w:t>may render the combination not being so useful.</w:t>
      </w:r>
      <w:r>
        <w:rPr>
          <w:rFonts w:ascii="Arial" w:hAnsi="Arial" w:cs="Arial"/>
          <w:sz w:val="20"/>
          <w:szCs w:val="20"/>
          <w:lang w:val="en-GB"/>
        </w:rPr>
        <w:t xml:space="preserve"> On the other hand, though the 2Tx architecture can help improve MSD due to IMD5, it does not benefit much to MSD due to IMD3.   </w:t>
      </w:r>
    </w:p>
    <w:p w14:paraId="6C8A1536" w14:textId="77777777" w:rsidR="00273BA8" w:rsidRPr="00273BA8" w:rsidRDefault="00273BA8" w:rsidP="00273BA8">
      <w:pPr>
        <w:jc w:val="both"/>
        <w:rPr>
          <w:rFonts w:ascii="Arial" w:hAnsi="Arial" w:cs="Arial"/>
          <w:sz w:val="20"/>
          <w:szCs w:val="20"/>
        </w:rPr>
      </w:pPr>
    </w:p>
    <w:p w14:paraId="6B69F745" w14:textId="30E30C9D" w:rsidR="002D2A38" w:rsidRDefault="002D2A38" w:rsidP="00E828D4">
      <w:pPr>
        <w:spacing w:after="120"/>
        <w:jc w:val="both"/>
        <w:rPr>
          <w:rFonts w:ascii="Arial" w:hAnsi="Arial" w:cs="Arial"/>
          <w:sz w:val="20"/>
          <w:szCs w:val="20"/>
        </w:rPr>
      </w:pPr>
      <w:r w:rsidRPr="0040649B">
        <w:rPr>
          <w:rFonts w:ascii="Arial" w:hAnsi="Arial" w:cs="Arial"/>
          <w:b/>
          <w:bCs/>
          <w:i/>
          <w:iCs/>
          <w:sz w:val="20"/>
          <w:szCs w:val="20"/>
        </w:rPr>
        <w:t xml:space="preserve">Observation </w:t>
      </w:r>
      <w:r w:rsidR="00273BA8">
        <w:rPr>
          <w:rFonts w:ascii="Arial" w:hAnsi="Arial" w:cs="Arial"/>
          <w:b/>
          <w:bCs/>
          <w:i/>
          <w:iCs/>
          <w:sz w:val="20"/>
          <w:szCs w:val="20"/>
        </w:rPr>
        <w:t>5</w:t>
      </w:r>
      <w:r w:rsidRPr="0040649B">
        <w:rPr>
          <w:rFonts w:ascii="Arial" w:hAnsi="Arial" w:cs="Arial"/>
          <w:i/>
          <w:iCs/>
          <w:sz w:val="20"/>
          <w:szCs w:val="20"/>
          <w:lang w:val="en-GB"/>
        </w:rPr>
        <w:t xml:space="preserve">: </w:t>
      </w:r>
      <w:r>
        <w:rPr>
          <w:rFonts w:ascii="Arial" w:hAnsi="Arial" w:cs="Arial"/>
          <w:i/>
          <w:iCs/>
          <w:sz w:val="20"/>
          <w:szCs w:val="20"/>
          <w:lang w:val="en-GB"/>
        </w:rPr>
        <w:t xml:space="preserve">For UL/DL CA_n26(2A), the MSD caused by IMD3 is quite substantial which may render the combination not being </w:t>
      </w:r>
      <w:r w:rsidR="00273BA8">
        <w:rPr>
          <w:rFonts w:ascii="Arial" w:hAnsi="Arial" w:cs="Arial"/>
          <w:i/>
          <w:iCs/>
          <w:sz w:val="20"/>
          <w:szCs w:val="20"/>
          <w:lang w:val="en-GB"/>
        </w:rPr>
        <w:t xml:space="preserve">so </w:t>
      </w:r>
      <w:r>
        <w:rPr>
          <w:rFonts w:ascii="Arial" w:hAnsi="Arial" w:cs="Arial"/>
          <w:i/>
          <w:iCs/>
          <w:sz w:val="20"/>
          <w:szCs w:val="20"/>
          <w:lang w:val="en-GB"/>
        </w:rPr>
        <w:t>useful.</w:t>
      </w:r>
    </w:p>
    <w:p w14:paraId="3B80B420" w14:textId="77777777" w:rsidR="002D2A38" w:rsidRDefault="002D2A38" w:rsidP="002D2A38">
      <w:pPr>
        <w:jc w:val="both"/>
        <w:rPr>
          <w:rFonts w:ascii="Arial" w:hAnsi="Arial" w:cs="Arial"/>
          <w:sz w:val="20"/>
          <w:szCs w:val="20"/>
        </w:rPr>
      </w:pPr>
    </w:p>
    <w:p w14:paraId="6D0A6DFA" w14:textId="33D9B4FA" w:rsidR="00273BA8" w:rsidRDefault="00273BA8" w:rsidP="00E828D4">
      <w:pPr>
        <w:spacing w:after="120"/>
        <w:jc w:val="both"/>
        <w:rPr>
          <w:rFonts w:ascii="Arial" w:hAnsi="Arial" w:cs="Arial"/>
          <w:sz w:val="20"/>
          <w:szCs w:val="20"/>
        </w:rPr>
      </w:pPr>
      <w:r w:rsidRPr="0040649B">
        <w:rPr>
          <w:rFonts w:ascii="Arial" w:hAnsi="Arial" w:cs="Arial"/>
          <w:b/>
          <w:bCs/>
          <w:i/>
          <w:iCs/>
          <w:sz w:val="20"/>
          <w:szCs w:val="20"/>
        </w:rPr>
        <w:t xml:space="preserve">Observation </w:t>
      </w:r>
      <w:r>
        <w:rPr>
          <w:rFonts w:ascii="Arial" w:hAnsi="Arial" w:cs="Arial"/>
          <w:b/>
          <w:bCs/>
          <w:i/>
          <w:iCs/>
          <w:sz w:val="20"/>
          <w:szCs w:val="20"/>
        </w:rPr>
        <w:t>6</w:t>
      </w:r>
      <w:r w:rsidRPr="0040649B">
        <w:rPr>
          <w:rFonts w:ascii="Arial" w:hAnsi="Arial" w:cs="Arial"/>
          <w:i/>
          <w:iCs/>
          <w:sz w:val="20"/>
          <w:szCs w:val="20"/>
          <w:lang w:val="en-GB"/>
        </w:rPr>
        <w:t xml:space="preserve">: </w:t>
      </w:r>
      <w:r>
        <w:rPr>
          <w:rFonts w:ascii="Arial" w:hAnsi="Arial" w:cs="Arial"/>
          <w:i/>
          <w:iCs/>
          <w:sz w:val="20"/>
          <w:szCs w:val="20"/>
          <w:lang w:val="en-GB"/>
        </w:rPr>
        <w:t>The 2Tx architecture for UL CA_n26(2A) does not benefit much to MSD due to IMD3, though it helps improve MSD due to IMD5.</w:t>
      </w:r>
    </w:p>
    <w:p w14:paraId="515BAADA" w14:textId="77777777" w:rsidR="00273BA8" w:rsidRDefault="00273BA8" w:rsidP="00273BA8">
      <w:pPr>
        <w:jc w:val="both"/>
        <w:rPr>
          <w:rFonts w:ascii="Arial" w:hAnsi="Arial" w:cs="Arial"/>
          <w:sz w:val="20"/>
          <w:szCs w:val="20"/>
        </w:rPr>
      </w:pPr>
    </w:p>
    <w:p w14:paraId="22A80530" w14:textId="1167ACC5" w:rsidR="00E828D4" w:rsidRDefault="002D2A38" w:rsidP="00E828D4">
      <w:pPr>
        <w:spacing w:after="120"/>
        <w:jc w:val="both"/>
        <w:rPr>
          <w:rFonts w:ascii="Arial" w:hAnsi="Arial" w:cs="Arial"/>
          <w:sz w:val="20"/>
          <w:szCs w:val="20"/>
        </w:rPr>
      </w:pPr>
      <w:r>
        <w:rPr>
          <w:rFonts w:ascii="Arial" w:hAnsi="Arial" w:cs="Arial"/>
          <w:sz w:val="20"/>
          <w:szCs w:val="20"/>
        </w:rPr>
        <w:t xml:space="preserve">Based on the above analysis, we propose RAN4 to reconsider whether </w:t>
      </w:r>
      <w:r w:rsidR="003A5662">
        <w:rPr>
          <w:rFonts w:ascii="Arial" w:hAnsi="Arial" w:cs="Arial"/>
          <w:sz w:val="20"/>
          <w:szCs w:val="20"/>
        </w:rPr>
        <w:t xml:space="preserve">there is sufficient technical justification </w:t>
      </w:r>
      <w:r>
        <w:rPr>
          <w:rFonts w:ascii="Arial" w:hAnsi="Arial" w:cs="Arial"/>
          <w:sz w:val="20"/>
          <w:szCs w:val="20"/>
        </w:rPr>
        <w:t>to support UL CA_n26(2A) as the DL carriers are su</w:t>
      </w:r>
      <w:r w:rsidR="003A5662">
        <w:rPr>
          <w:rFonts w:ascii="Arial" w:hAnsi="Arial" w:cs="Arial"/>
          <w:sz w:val="20"/>
          <w:szCs w:val="20"/>
        </w:rPr>
        <w:t>s</w:t>
      </w:r>
      <w:r>
        <w:rPr>
          <w:rFonts w:ascii="Arial" w:hAnsi="Arial" w:cs="Arial"/>
          <w:sz w:val="20"/>
          <w:szCs w:val="20"/>
        </w:rPr>
        <w:t>cept</w:t>
      </w:r>
      <w:r w:rsidR="003A5662">
        <w:rPr>
          <w:rFonts w:ascii="Arial" w:hAnsi="Arial" w:cs="Arial"/>
          <w:sz w:val="20"/>
          <w:szCs w:val="20"/>
        </w:rPr>
        <w:t>i</w:t>
      </w:r>
      <w:r>
        <w:rPr>
          <w:rFonts w:ascii="Arial" w:hAnsi="Arial" w:cs="Arial"/>
          <w:sz w:val="20"/>
          <w:szCs w:val="20"/>
        </w:rPr>
        <w:t>ble</w:t>
      </w:r>
      <w:r w:rsidR="003A5662">
        <w:rPr>
          <w:rFonts w:ascii="Arial" w:hAnsi="Arial" w:cs="Arial"/>
          <w:sz w:val="20"/>
          <w:szCs w:val="20"/>
        </w:rPr>
        <w:t xml:space="preserve"> to relatively high MSD.</w:t>
      </w:r>
      <w:r>
        <w:rPr>
          <w:rFonts w:ascii="Arial" w:hAnsi="Arial" w:cs="Arial"/>
          <w:sz w:val="20"/>
          <w:szCs w:val="20"/>
        </w:rPr>
        <w:t xml:space="preserve">  </w:t>
      </w:r>
    </w:p>
    <w:p w14:paraId="6739C5FD" w14:textId="77777777" w:rsidR="00E828D4" w:rsidRDefault="00E828D4" w:rsidP="00DF33DB">
      <w:pPr>
        <w:jc w:val="both"/>
        <w:rPr>
          <w:rFonts w:ascii="Arial" w:hAnsi="Arial" w:cs="Arial"/>
          <w:sz w:val="20"/>
          <w:szCs w:val="20"/>
        </w:rPr>
      </w:pPr>
    </w:p>
    <w:p w14:paraId="33645644" w14:textId="559CD8B8" w:rsidR="001A646C" w:rsidRDefault="00E828D4" w:rsidP="001A646C">
      <w:pPr>
        <w:spacing w:after="120"/>
        <w:jc w:val="both"/>
        <w:rPr>
          <w:rFonts w:ascii="Arial" w:hAnsi="Arial" w:cs="Arial"/>
          <w:i/>
          <w:iCs/>
          <w:sz w:val="20"/>
          <w:szCs w:val="20"/>
        </w:rPr>
      </w:pPr>
      <w:r w:rsidRPr="0040649B">
        <w:rPr>
          <w:rFonts w:ascii="Arial" w:hAnsi="Arial" w:cs="Arial"/>
          <w:b/>
          <w:bCs/>
          <w:i/>
          <w:iCs/>
          <w:sz w:val="20"/>
          <w:szCs w:val="20"/>
          <w:lang w:val="en-GB"/>
        </w:rPr>
        <w:t xml:space="preserve">Proposal </w:t>
      </w:r>
      <w:r w:rsidR="003A5662">
        <w:rPr>
          <w:rFonts w:ascii="Arial" w:hAnsi="Arial" w:cs="Arial"/>
          <w:b/>
          <w:bCs/>
          <w:i/>
          <w:iCs/>
          <w:sz w:val="20"/>
          <w:szCs w:val="20"/>
          <w:lang w:val="en-GB"/>
        </w:rPr>
        <w:t>1</w:t>
      </w:r>
      <w:r w:rsidRPr="0040649B">
        <w:rPr>
          <w:rFonts w:ascii="Arial" w:hAnsi="Arial" w:cs="Arial"/>
          <w:i/>
          <w:iCs/>
          <w:sz w:val="20"/>
          <w:szCs w:val="20"/>
          <w:lang w:val="en-GB"/>
        </w:rPr>
        <w:t xml:space="preserve">: </w:t>
      </w:r>
      <w:r w:rsidR="003A5662" w:rsidRPr="003A5662">
        <w:rPr>
          <w:rFonts w:ascii="Arial" w:hAnsi="Arial" w:cs="Arial"/>
          <w:i/>
          <w:iCs/>
          <w:sz w:val="20"/>
          <w:szCs w:val="20"/>
        </w:rPr>
        <w:t>RAN4 to reconsider whether there is sufficient technical justification to support UL CA_n26(2A) as the DL carriers are susceptible to relatively high MSD.</w:t>
      </w:r>
    </w:p>
    <w:p w14:paraId="71D7F57B" w14:textId="77777777" w:rsidR="001A646C" w:rsidRPr="003A5662" w:rsidRDefault="001A646C" w:rsidP="00DF33DB">
      <w:pPr>
        <w:jc w:val="both"/>
        <w:rPr>
          <w:rFonts w:ascii="Arial" w:hAnsi="Arial" w:cs="Arial"/>
          <w:sz w:val="20"/>
          <w:szCs w:val="20"/>
        </w:rPr>
      </w:pPr>
    </w:p>
    <w:p w14:paraId="693FB3F4" w14:textId="7D3BCEDC" w:rsidR="00DF33DB" w:rsidRDefault="003A5662" w:rsidP="00155547">
      <w:pPr>
        <w:spacing w:after="120"/>
        <w:jc w:val="both"/>
        <w:rPr>
          <w:rFonts w:ascii="Arial" w:hAnsi="Arial" w:cs="Arial"/>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2</w:t>
      </w:r>
      <w:r w:rsidRPr="0040649B">
        <w:rPr>
          <w:rFonts w:ascii="Arial" w:hAnsi="Arial" w:cs="Arial"/>
          <w:i/>
          <w:iCs/>
          <w:sz w:val="20"/>
          <w:szCs w:val="20"/>
          <w:lang w:val="en-GB"/>
        </w:rPr>
        <w:t xml:space="preserve">: </w:t>
      </w:r>
      <w:r>
        <w:rPr>
          <w:rFonts w:ascii="Arial" w:hAnsi="Arial" w:cs="Arial"/>
          <w:i/>
          <w:iCs/>
          <w:sz w:val="20"/>
          <w:szCs w:val="20"/>
          <w:lang w:val="en-GB"/>
        </w:rPr>
        <w:t xml:space="preserve">If </w:t>
      </w:r>
      <w:r w:rsidRPr="003A5662">
        <w:rPr>
          <w:rFonts w:ascii="Arial" w:hAnsi="Arial" w:cs="Arial"/>
          <w:i/>
          <w:iCs/>
          <w:sz w:val="20"/>
          <w:szCs w:val="20"/>
        </w:rPr>
        <w:t xml:space="preserve">RAN4 </w:t>
      </w:r>
      <w:r>
        <w:rPr>
          <w:rFonts w:ascii="Arial" w:hAnsi="Arial" w:cs="Arial"/>
          <w:i/>
          <w:iCs/>
          <w:sz w:val="20"/>
          <w:szCs w:val="20"/>
        </w:rPr>
        <w:t>would proceed to specify UL/DL CA_n26(2A), take the MSD values in Table 2-3 into consideration</w:t>
      </w:r>
      <w:r w:rsidRPr="003A5662">
        <w:rPr>
          <w:rFonts w:ascii="Arial" w:hAnsi="Arial" w:cs="Arial"/>
          <w:i/>
          <w:iCs/>
          <w:sz w:val="20"/>
          <w:szCs w:val="20"/>
        </w:rPr>
        <w:t>.</w:t>
      </w:r>
      <w:r w:rsidR="00E828D4">
        <w:rPr>
          <w:rFonts w:ascii="Arial" w:hAnsi="Arial" w:cs="Arial"/>
          <w:i/>
          <w:iCs/>
          <w:sz w:val="20"/>
          <w:szCs w:val="20"/>
        </w:rPr>
        <w:t xml:space="preserve">  </w:t>
      </w:r>
      <w:r w:rsidR="00DA3B10">
        <w:rPr>
          <w:rFonts w:ascii="Arial" w:hAnsi="Arial" w:cs="Arial"/>
          <w:sz w:val="20"/>
          <w:szCs w:val="20"/>
        </w:rPr>
        <w:t xml:space="preserve">    </w:t>
      </w:r>
      <w:r w:rsidR="00DF33DB">
        <w:rPr>
          <w:rFonts w:ascii="Arial" w:hAnsi="Arial" w:cs="Arial"/>
          <w:sz w:val="20"/>
          <w:szCs w:val="20"/>
        </w:rPr>
        <w:t xml:space="preserve"> </w:t>
      </w:r>
    </w:p>
    <w:p w14:paraId="7EADC4AC" w14:textId="7BB1A624" w:rsidR="00DF33DB" w:rsidRPr="00820E2A" w:rsidRDefault="00DF33DB" w:rsidP="000C59CD">
      <w:pPr>
        <w:rPr>
          <w:rFonts w:ascii="Arial" w:hAnsi="Arial" w:cs="Arial"/>
          <w:sz w:val="20"/>
          <w:szCs w:val="20"/>
        </w:rPr>
      </w:pPr>
      <w:r>
        <w:rPr>
          <w:rFonts w:ascii="Arial" w:hAnsi="Arial" w:cs="Arial"/>
          <w:sz w:val="20"/>
          <w:szCs w:val="20"/>
        </w:rPr>
        <w:t xml:space="preserve"> </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6B3068FD" w:rsidR="006D7B72" w:rsidRPr="00BA50B0" w:rsidRDefault="00155547" w:rsidP="00C358C6">
      <w:pPr>
        <w:spacing w:after="120"/>
        <w:jc w:val="both"/>
        <w:rPr>
          <w:rFonts w:ascii="Arial" w:hAnsi="Arial" w:cs="Arial"/>
          <w:bCs/>
          <w:sz w:val="20"/>
          <w:szCs w:val="20"/>
        </w:rPr>
      </w:pPr>
      <w:r>
        <w:rPr>
          <w:rFonts w:ascii="Arial" w:hAnsi="Arial" w:cs="Arial"/>
          <w:sz w:val="20"/>
          <w:szCs w:val="20"/>
        </w:rPr>
        <w:t>In this contribution, we provide our MSD analysis for UL/DL CA_n26(2A) with IMD3 and IMD5 direct hit to DL carriers based on numerical simulations and link analysis.</w:t>
      </w:r>
    </w:p>
    <w:p w14:paraId="7D6CC181" w14:textId="50485AFD" w:rsidR="0064163A" w:rsidRPr="00EE683F" w:rsidRDefault="0064163A" w:rsidP="00EE683F">
      <w:pPr>
        <w:jc w:val="both"/>
        <w:rPr>
          <w:rFonts w:ascii="Arial" w:hAnsi="Arial" w:cs="Arial"/>
          <w:bCs/>
          <w:sz w:val="20"/>
          <w:szCs w:val="20"/>
        </w:rPr>
      </w:pPr>
    </w:p>
    <w:p w14:paraId="6F8F2B32" w14:textId="532B176E" w:rsidR="001A646C" w:rsidRPr="0040649B" w:rsidRDefault="00155547" w:rsidP="001A646C">
      <w:pPr>
        <w:spacing w:after="120"/>
        <w:jc w:val="both"/>
        <w:rPr>
          <w:rFonts w:ascii="Arial" w:hAnsi="Arial" w:cs="Arial"/>
          <w:i/>
          <w:iCs/>
          <w:sz w:val="20"/>
          <w:szCs w:val="20"/>
        </w:rPr>
      </w:pPr>
      <w:r w:rsidRPr="0040649B">
        <w:rPr>
          <w:rFonts w:ascii="Arial" w:hAnsi="Arial" w:cs="Arial"/>
          <w:b/>
          <w:bCs/>
          <w:i/>
          <w:iCs/>
          <w:sz w:val="20"/>
          <w:szCs w:val="20"/>
        </w:rPr>
        <w:t>Observation 1</w:t>
      </w:r>
      <w:r w:rsidRPr="0040649B">
        <w:rPr>
          <w:rFonts w:ascii="Arial" w:hAnsi="Arial" w:cs="Arial"/>
          <w:i/>
          <w:iCs/>
          <w:sz w:val="20"/>
          <w:szCs w:val="20"/>
        </w:rPr>
        <w:t xml:space="preserve">: </w:t>
      </w:r>
      <w:r>
        <w:rPr>
          <w:rFonts w:ascii="Arial" w:hAnsi="Arial" w:cs="Arial"/>
          <w:i/>
          <w:iCs/>
          <w:sz w:val="20"/>
          <w:szCs w:val="20"/>
        </w:rPr>
        <w:t>UL/DL CA_n26(2A) has 2UL IMD3 and IMD5 direct hit to DL PCC and SCC or vice versa when the carrier spacing is half of the duplex distance at 22.5 MHz.</w:t>
      </w:r>
    </w:p>
    <w:p w14:paraId="62791905" w14:textId="77777777" w:rsidR="001A646C" w:rsidRDefault="001A646C" w:rsidP="001A646C">
      <w:pPr>
        <w:jc w:val="both"/>
        <w:rPr>
          <w:rFonts w:ascii="Arial" w:hAnsi="Arial" w:cs="Arial"/>
          <w:sz w:val="20"/>
          <w:szCs w:val="20"/>
        </w:rPr>
      </w:pPr>
    </w:p>
    <w:p w14:paraId="325148CF" w14:textId="581D193E" w:rsidR="003E6524" w:rsidRDefault="00155547" w:rsidP="001A646C">
      <w:pPr>
        <w:spacing w:after="120"/>
        <w:jc w:val="both"/>
        <w:rPr>
          <w:rFonts w:ascii="Arial" w:hAnsi="Arial" w:cs="Arial"/>
          <w:i/>
          <w:iCs/>
          <w:sz w:val="20"/>
          <w:szCs w:val="20"/>
        </w:rPr>
      </w:pPr>
      <w:r w:rsidRPr="0040649B">
        <w:rPr>
          <w:rFonts w:ascii="Arial" w:hAnsi="Arial" w:cs="Arial"/>
          <w:b/>
          <w:bCs/>
          <w:i/>
          <w:iCs/>
          <w:sz w:val="20"/>
          <w:szCs w:val="20"/>
        </w:rPr>
        <w:t>Observation 2</w:t>
      </w:r>
      <w:r w:rsidRPr="0040649B">
        <w:rPr>
          <w:rFonts w:ascii="Arial" w:hAnsi="Arial" w:cs="Arial"/>
          <w:i/>
          <w:iCs/>
          <w:sz w:val="20"/>
          <w:szCs w:val="20"/>
        </w:rPr>
        <w:t xml:space="preserve">: The </w:t>
      </w:r>
      <w:r>
        <w:rPr>
          <w:rFonts w:ascii="Arial" w:hAnsi="Arial" w:cs="Arial"/>
          <w:i/>
          <w:iCs/>
          <w:sz w:val="20"/>
          <w:szCs w:val="20"/>
        </w:rPr>
        <w:t xml:space="preserve">UL CA_n26(2A) Tx noise into DL range is not </w:t>
      </w:r>
      <w:r w:rsidRPr="00226ACE">
        <w:rPr>
          <w:rFonts w:ascii="Arial" w:hAnsi="Arial" w:cs="Arial"/>
          <w:i/>
          <w:iCs/>
          <w:sz w:val="20"/>
          <w:szCs w:val="20"/>
        </w:rPr>
        <w:t>only contributed by the 2UL intermodulation products but also the nonlinear self-distortion (ACLR) from each UL carrier respectively.</w:t>
      </w:r>
    </w:p>
    <w:p w14:paraId="2CF27C91" w14:textId="77777777" w:rsidR="001A646C" w:rsidRDefault="001A646C" w:rsidP="001A646C">
      <w:pPr>
        <w:jc w:val="both"/>
        <w:rPr>
          <w:rFonts w:ascii="Arial" w:hAnsi="Arial" w:cs="Arial"/>
          <w:i/>
          <w:iCs/>
          <w:sz w:val="20"/>
          <w:szCs w:val="20"/>
        </w:rPr>
      </w:pPr>
    </w:p>
    <w:p w14:paraId="25275A16" w14:textId="072A9568" w:rsidR="001A646C" w:rsidRPr="0040649B" w:rsidRDefault="00155547" w:rsidP="001A646C">
      <w:pPr>
        <w:spacing w:after="120"/>
        <w:jc w:val="both"/>
        <w:rPr>
          <w:rFonts w:ascii="Arial" w:hAnsi="Arial" w:cs="Arial"/>
          <w:i/>
          <w:iCs/>
          <w:sz w:val="20"/>
          <w:szCs w:val="20"/>
        </w:rPr>
      </w:pPr>
      <w:r w:rsidRPr="0040649B">
        <w:rPr>
          <w:rFonts w:ascii="Arial" w:hAnsi="Arial" w:cs="Arial"/>
          <w:b/>
          <w:bCs/>
          <w:i/>
          <w:iCs/>
          <w:sz w:val="20"/>
          <w:szCs w:val="20"/>
        </w:rPr>
        <w:t xml:space="preserve">Observation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Among all the RF impairments contributing to MSD, Tx noise generated from PA nonlinearity dominates.</w:t>
      </w:r>
    </w:p>
    <w:p w14:paraId="71B7B2D0" w14:textId="77777777" w:rsidR="001A646C" w:rsidRDefault="001A646C" w:rsidP="001A646C">
      <w:pPr>
        <w:jc w:val="both"/>
        <w:rPr>
          <w:rFonts w:ascii="Arial" w:hAnsi="Arial" w:cs="Arial"/>
          <w:sz w:val="20"/>
          <w:szCs w:val="20"/>
        </w:rPr>
      </w:pPr>
    </w:p>
    <w:p w14:paraId="6C66DBD2" w14:textId="79896D7C" w:rsidR="001A646C" w:rsidRDefault="00155547" w:rsidP="001A646C">
      <w:pPr>
        <w:spacing w:after="120"/>
        <w:jc w:val="both"/>
        <w:rPr>
          <w:rFonts w:ascii="Arial" w:hAnsi="Arial" w:cs="Arial"/>
          <w:i/>
          <w:iCs/>
          <w:sz w:val="20"/>
          <w:szCs w:val="20"/>
        </w:rPr>
      </w:pPr>
      <w:r w:rsidRPr="0040649B">
        <w:rPr>
          <w:rFonts w:ascii="Arial" w:hAnsi="Arial" w:cs="Arial"/>
          <w:b/>
          <w:bCs/>
          <w:i/>
          <w:iCs/>
          <w:sz w:val="20"/>
          <w:szCs w:val="20"/>
        </w:rPr>
        <w:t xml:space="preserve">Observation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i/>
          <w:iCs/>
          <w:sz w:val="20"/>
          <w:szCs w:val="20"/>
        </w:rPr>
        <w:t xml:space="preserve">In the case of </w:t>
      </w:r>
      <w:r w:rsidRPr="00B8176C">
        <w:rPr>
          <w:rFonts w:ascii="Arial" w:hAnsi="Arial" w:cs="Arial"/>
          <w:i/>
          <w:iCs/>
          <w:sz w:val="20"/>
          <w:szCs w:val="20"/>
        </w:rPr>
        <w:t>2Tx implementation with one Tx for each UL carrier, the MSD would be dominated by the PA reversed IMD.</w:t>
      </w:r>
    </w:p>
    <w:p w14:paraId="30BAAB0D" w14:textId="77777777" w:rsidR="001A646C" w:rsidRPr="00155547" w:rsidRDefault="001A646C" w:rsidP="001A646C">
      <w:pPr>
        <w:jc w:val="both"/>
        <w:rPr>
          <w:rFonts w:ascii="Arial" w:hAnsi="Arial" w:cs="Arial"/>
          <w:sz w:val="20"/>
          <w:szCs w:val="20"/>
        </w:rPr>
      </w:pPr>
    </w:p>
    <w:p w14:paraId="15D90840" w14:textId="4B65C869" w:rsidR="00155547" w:rsidRDefault="00AB6913" w:rsidP="00776634">
      <w:pPr>
        <w:spacing w:after="120"/>
        <w:jc w:val="both"/>
        <w:rPr>
          <w:rFonts w:ascii="Arial" w:hAnsi="Arial" w:cs="Arial"/>
          <w:b/>
          <w:bCs/>
          <w:i/>
          <w:iCs/>
          <w:sz w:val="20"/>
          <w:szCs w:val="20"/>
          <w:lang w:val="en-GB"/>
        </w:rPr>
      </w:pPr>
      <w:r w:rsidRPr="0040649B">
        <w:rPr>
          <w:rFonts w:ascii="Arial" w:hAnsi="Arial" w:cs="Arial"/>
          <w:b/>
          <w:bCs/>
          <w:i/>
          <w:iCs/>
          <w:sz w:val="20"/>
          <w:szCs w:val="20"/>
        </w:rPr>
        <w:t xml:space="preserve">Observation </w:t>
      </w:r>
      <w:r>
        <w:rPr>
          <w:rFonts w:ascii="Arial" w:hAnsi="Arial" w:cs="Arial"/>
          <w:b/>
          <w:bCs/>
          <w:i/>
          <w:iCs/>
          <w:sz w:val="20"/>
          <w:szCs w:val="20"/>
        </w:rPr>
        <w:t>5</w:t>
      </w:r>
      <w:r w:rsidRPr="0040649B">
        <w:rPr>
          <w:rFonts w:ascii="Arial" w:hAnsi="Arial" w:cs="Arial"/>
          <w:i/>
          <w:iCs/>
          <w:sz w:val="20"/>
          <w:szCs w:val="20"/>
          <w:lang w:val="en-GB"/>
        </w:rPr>
        <w:t xml:space="preserve">: </w:t>
      </w:r>
      <w:r>
        <w:rPr>
          <w:rFonts w:ascii="Arial" w:hAnsi="Arial" w:cs="Arial"/>
          <w:i/>
          <w:iCs/>
          <w:sz w:val="20"/>
          <w:szCs w:val="20"/>
          <w:lang w:val="en-GB"/>
        </w:rPr>
        <w:t>For UL/DL CA_n26(2A), the MSD caused by IMD3 is quite substantial which may render the combination not being so useful.</w:t>
      </w:r>
    </w:p>
    <w:p w14:paraId="1E66FA65" w14:textId="77777777" w:rsidR="00155547" w:rsidRDefault="00155547" w:rsidP="00155547">
      <w:pPr>
        <w:jc w:val="both"/>
        <w:rPr>
          <w:rFonts w:ascii="Arial" w:hAnsi="Arial" w:cs="Arial"/>
          <w:b/>
          <w:bCs/>
          <w:i/>
          <w:iCs/>
          <w:sz w:val="20"/>
          <w:szCs w:val="20"/>
          <w:lang w:val="en-GB"/>
        </w:rPr>
      </w:pPr>
    </w:p>
    <w:p w14:paraId="203D5723" w14:textId="1D70F0DA" w:rsidR="00155547" w:rsidRDefault="00AB6913" w:rsidP="00776634">
      <w:pPr>
        <w:spacing w:after="120"/>
        <w:jc w:val="both"/>
        <w:rPr>
          <w:rFonts w:ascii="Arial" w:hAnsi="Arial" w:cs="Arial"/>
          <w:b/>
          <w:bCs/>
          <w:i/>
          <w:iCs/>
          <w:sz w:val="20"/>
          <w:szCs w:val="20"/>
          <w:lang w:val="en-GB"/>
        </w:rPr>
      </w:pPr>
      <w:r w:rsidRPr="0040649B">
        <w:rPr>
          <w:rFonts w:ascii="Arial" w:hAnsi="Arial" w:cs="Arial"/>
          <w:b/>
          <w:bCs/>
          <w:i/>
          <w:iCs/>
          <w:sz w:val="20"/>
          <w:szCs w:val="20"/>
        </w:rPr>
        <w:t xml:space="preserve">Observation </w:t>
      </w:r>
      <w:r>
        <w:rPr>
          <w:rFonts w:ascii="Arial" w:hAnsi="Arial" w:cs="Arial"/>
          <w:b/>
          <w:bCs/>
          <w:i/>
          <w:iCs/>
          <w:sz w:val="20"/>
          <w:szCs w:val="20"/>
        </w:rPr>
        <w:t>6</w:t>
      </w:r>
      <w:r w:rsidRPr="0040649B">
        <w:rPr>
          <w:rFonts w:ascii="Arial" w:hAnsi="Arial" w:cs="Arial"/>
          <w:i/>
          <w:iCs/>
          <w:sz w:val="20"/>
          <w:szCs w:val="20"/>
          <w:lang w:val="en-GB"/>
        </w:rPr>
        <w:t xml:space="preserve">: </w:t>
      </w:r>
      <w:r>
        <w:rPr>
          <w:rFonts w:ascii="Arial" w:hAnsi="Arial" w:cs="Arial"/>
          <w:i/>
          <w:iCs/>
          <w:sz w:val="20"/>
          <w:szCs w:val="20"/>
          <w:lang w:val="en-GB"/>
        </w:rPr>
        <w:t>The 2Tx architecture for UL CA_n26(2A) does not benefit much to MSD due to IMD3, though it helps improve MSD due to IMD5.</w:t>
      </w:r>
    </w:p>
    <w:p w14:paraId="7913F2B7" w14:textId="77777777" w:rsidR="00155547" w:rsidRPr="00155547" w:rsidRDefault="00155547" w:rsidP="00155547">
      <w:pPr>
        <w:jc w:val="both"/>
        <w:rPr>
          <w:rFonts w:ascii="Arial" w:hAnsi="Arial" w:cs="Arial"/>
          <w:sz w:val="20"/>
          <w:szCs w:val="20"/>
          <w:lang w:val="en-GB"/>
        </w:rPr>
      </w:pPr>
    </w:p>
    <w:p w14:paraId="452D37F0" w14:textId="025D2989" w:rsidR="001A646C" w:rsidRDefault="00155547" w:rsidP="00776634">
      <w:pPr>
        <w:spacing w:after="12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1</w:t>
      </w:r>
      <w:r w:rsidRPr="0040649B">
        <w:rPr>
          <w:rFonts w:ascii="Arial" w:hAnsi="Arial" w:cs="Arial"/>
          <w:i/>
          <w:iCs/>
          <w:sz w:val="20"/>
          <w:szCs w:val="20"/>
          <w:lang w:val="en-GB"/>
        </w:rPr>
        <w:t xml:space="preserve">: </w:t>
      </w:r>
      <w:r w:rsidRPr="003A5662">
        <w:rPr>
          <w:rFonts w:ascii="Arial" w:hAnsi="Arial" w:cs="Arial"/>
          <w:i/>
          <w:iCs/>
          <w:sz w:val="20"/>
          <w:szCs w:val="20"/>
        </w:rPr>
        <w:t>RAN4 to reconsider whether there is sufficient technical justification to support UL CA_n26(2A) as the DL carriers are susceptible to relatively high MSD.</w:t>
      </w:r>
    </w:p>
    <w:p w14:paraId="5923A80D" w14:textId="77777777" w:rsidR="001A646C" w:rsidRDefault="001A646C" w:rsidP="001A646C">
      <w:pPr>
        <w:jc w:val="both"/>
        <w:rPr>
          <w:rFonts w:ascii="Arial" w:hAnsi="Arial" w:cs="Arial"/>
          <w:i/>
          <w:iCs/>
          <w:sz w:val="20"/>
          <w:szCs w:val="20"/>
        </w:rPr>
      </w:pPr>
    </w:p>
    <w:p w14:paraId="4D71E036" w14:textId="71DD28E9" w:rsidR="001A646C" w:rsidRDefault="00155547" w:rsidP="00776634">
      <w:pPr>
        <w:spacing w:after="12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2</w:t>
      </w:r>
      <w:r w:rsidRPr="0040649B">
        <w:rPr>
          <w:rFonts w:ascii="Arial" w:hAnsi="Arial" w:cs="Arial"/>
          <w:i/>
          <w:iCs/>
          <w:sz w:val="20"/>
          <w:szCs w:val="20"/>
          <w:lang w:val="en-GB"/>
        </w:rPr>
        <w:t xml:space="preserve">: </w:t>
      </w:r>
      <w:r>
        <w:rPr>
          <w:rFonts w:ascii="Arial" w:hAnsi="Arial" w:cs="Arial"/>
          <w:i/>
          <w:iCs/>
          <w:sz w:val="20"/>
          <w:szCs w:val="20"/>
          <w:lang w:val="en-GB"/>
        </w:rPr>
        <w:t xml:space="preserve">If </w:t>
      </w:r>
      <w:r w:rsidRPr="003A5662">
        <w:rPr>
          <w:rFonts w:ascii="Arial" w:hAnsi="Arial" w:cs="Arial"/>
          <w:i/>
          <w:iCs/>
          <w:sz w:val="20"/>
          <w:szCs w:val="20"/>
        </w:rPr>
        <w:t xml:space="preserve">RAN4 </w:t>
      </w:r>
      <w:r>
        <w:rPr>
          <w:rFonts w:ascii="Arial" w:hAnsi="Arial" w:cs="Arial"/>
          <w:i/>
          <w:iCs/>
          <w:sz w:val="20"/>
          <w:szCs w:val="20"/>
        </w:rPr>
        <w:t>would proceed to specify UL/DL CA_n26(2A), take the MSD values in the table below into consideration</w:t>
      </w:r>
      <w:r w:rsidRPr="003A5662">
        <w:rPr>
          <w:rFonts w:ascii="Arial" w:hAnsi="Arial" w:cs="Arial"/>
          <w:i/>
          <w:iCs/>
          <w:sz w:val="20"/>
          <w:szCs w:val="20"/>
        </w:rPr>
        <w:t>.</w:t>
      </w:r>
    </w:p>
    <w:p w14:paraId="1AE5BE61" w14:textId="77777777" w:rsidR="00155547" w:rsidRDefault="00155547" w:rsidP="00155547">
      <w:pPr>
        <w:jc w:val="both"/>
        <w:rPr>
          <w:rFonts w:ascii="Arial" w:hAnsi="Arial" w:cs="Arial"/>
          <w:sz w:val="20"/>
          <w:szCs w:val="20"/>
        </w:rPr>
      </w:pPr>
    </w:p>
    <w:p w14:paraId="03E01E37" w14:textId="77777777" w:rsidR="00273BA8" w:rsidRDefault="00273BA8" w:rsidP="00155547">
      <w:pPr>
        <w:jc w:val="both"/>
        <w:rPr>
          <w:rFonts w:ascii="Arial" w:hAnsi="Arial" w:cs="Arial"/>
          <w:sz w:val="20"/>
          <w:szCs w:val="20"/>
        </w:rPr>
      </w:pPr>
    </w:p>
    <w:p w14:paraId="731E7855" w14:textId="77777777" w:rsidR="00273BA8" w:rsidRPr="00155547" w:rsidRDefault="00273BA8" w:rsidP="00155547">
      <w:pPr>
        <w:jc w:val="both"/>
        <w:rPr>
          <w:rFonts w:ascii="Arial" w:hAnsi="Arial" w:cs="Arial"/>
          <w:sz w:val="20"/>
          <w:szCs w:val="20"/>
        </w:rPr>
      </w:pPr>
    </w:p>
    <w:tbl>
      <w:tblPr>
        <w:tblW w:w="7850" w:type="dxa"/>
        <w:jc w:val="center"/>
        <w:tblLook w:val="04A0" w:firstRow="1" w:lastRow="0" w:firstColumn="1" w:lastColumn="0" w:noHBand="0" w:noVBand="1"/>
      </w:tblPr>
      <w:tblGrid>
        <w:gridCol w:w="2100"/>
        <w:gridCol w:w="1760"/>
        <w:gridCol w:w="1980"/>
        <w:gridCol w:w="2010"/>
      </w:tblGrid>
      <w:tr w:rsidR="00155547" w:rsidRPr="00F64BDA" w14:paraId="5C6AF9A2" w14:textId="77777777" w:rsidTr="00AB6913">
        <w:trPr>
          <w:trHeight w:val="288"/>
          <w:jc w:val="center"/>
        </w:trPr>
        <w:tc>
          <w:tcPr>
            <w:tcW w:w="2100" w:type="dxa"/>
            <w:tcBorders>
              <w:top w:val="single" w:sz="8" w:space="0" w:color="auto"/>
              <w:left w:val="single" w:sz="8" w:space="0" w:color="auto"/>
              <w:bottom w:val="single" w:sz="4" w:space="0" w:color="auto"/>
              <w:right w:val="single" w:sz="4" w:space="0" w:color="auto"/>
            </w:tcBorders>
            <w:vAlign w:val="center"/>
          </w:tcPr>
          <w:p w14:paraId="326BF8C7" w14:textId="4FD258B5" w:rsidR="00155547" w:rsidRDefault="00155547" w:rsidP="004A7442">
            <w:pPr>
              <w:jc w:val="center"/>
              <w:rPr>
                <w:rFonts w:ascii="Arial" w:hAnsi="Arial" w:cs="Arial"/>
                <w:color w:val="000000"/>
                <w:sz w:val="18"/>
                <w:szCs w:val="18"/>
              </w:rPr>
            </w:pPr>
            <w:r>
              <w:rPr>
                <w:rFonts w:ascii="Arial" w:hAnsi="Arial" w:cs="Arial"/>
                <w:color w:val="000000"/>
                <w:sz w:val="18"/>
                <w:szCs w:val="18"/>
              </w:rPr>
              <w:lastRenderedPageBreak/>
              <w:t>CA Combination</w:t>
            </w:r>
          </w:p>
        </w:tc>
        <w:tc>
          <w:tcPr>
            <w:tcW w:w="17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A0E161" w14:textId="21617255"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UE Architecture</w:t>
            </w:r>
          </w:p>
        </w:tc>
        <w:tc>
          <w:tcPr>
            <w:tcW w:w="1980" w:type="dxa"/>
            <w:tcBorders>
              <w:top w:val="single" w:sz="8" w:space="0" w:color="auto"/>
              <w:left w:val="nil"/>
              <w:bottom w:val="single" w:sz="4" w:space="0" w:color="auto"/>
              <w:right w:val="single" w:sz="4" w:space="0" w:color="auto"/>
            </w:tcBorders>
            <w:shd w:val="clear" w:color="auto" w:fill="auto"/>
            <w:noWrap/>
            <w:vAlign w:val="center"/>
            <w:hideMark/>
          </w:tcPr>
          <w:p w14:paraId="61F31463" w14:textId="4A2472A6"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PCC MSD</w:t>
            </w:r>
            <w:r w:rsidR="00103298">
              <w:rPr>
                <w:rFonts w:ascii="Arial" w:hAnsi="Arial" w:cs="Arial"/>
                <w:color w:val="000000"/>
                <w:sz w:val="18"/>
                <w:szCs w:val="18"/>
              </w:rPr>
              <w:t xml:space="preserve"> (IMD3)</w:t>
            </w:r>
          </w:p>
        </w:tc>
        <w:tc>
          <w:tcPr>
            <w:tcW w:w="2010" w:type="dxa"/>
            <w:tcBorders>
              <w:top w:val="single" w:sz="8" w:space="0" w:color="auto"/>
              <w:left w:val="nil"/>
              <w:bottom w:val="single" w:sz="4" w:space="0" w:color="auto"/>
              <w:right w:val="single" w:sz="8" w:space="0" w:color="auto"/>
            </w:tcBorders>
            <w:shd w:val="clear" w:color="auto" w:fill="auto"/>
            <w:noWrap/>
            <w:vAlign w:val="center"/>
            <w:hideMark/>
          </w:tcPr>
          <w:p w14:paraId="4562051D" w14:textId="1510CAD9"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SCC MSD</w:t>
            </w:r>
            <w:r w:rsidR="00103298">
              <w:rPr>
                <w:rFonts w:ascii="Arial" w:hAnsi="Arial" w:cs="Arial"/>
                <w:color w:val="000000"/>
                <w:sz w:val="18"/>
                <w:szCs w:val="18"/>
              </w:rPr>
              <w:t xml:space="preserve"> (IMD5)</w:t>
            </w:r>
          </w:p>
        </w:tc>
      </w:tr>
      <w:tr w:rsidR="00155547" w:rsidRPr="00F64BDA" w14:paraId="6060521A" w14:textId="77777777" w:rsidTr="00AB6913">
        <w:trPr>
          <w:trHeight w:val="288"/>
          <w:jc w:val="center"/>
        </w:trPr>
        <w:tc>
          <w:tcPr>
            <w:tcW w:w="2100" w:type="dxa"/>
            <w:vMerge w:val="restart"/>
            <w:tcBorders>
              <w:top w:val="single" w:sz="4" w:space="0" w:color="auto"/>
              <w:left w:val="single" w:sz="8" w:space="0" w:color="auto"/>
              <w:right w:val="single" w:sz="4" w:space="0" w:color="auto"/>
            </w:tcBorders>
            <w:vAlign w:val="center"/>
          </w:tcPr>
          <w:p w14:paraId="21491CEF" w14:textId="01703E07" w:rsidR="00155547" w:rsidRDefault="00155547" w:rsidP="004A7442">
            <w:pPr>
              <w:jc w:val="center"/>
              <w:rPr>
                <w:rFonts w:ascii="Arial" w:hAnsi="Arial" w:cs="Arial"/>
                <w:color w:val="000000"/>
                <w:sz w:val="18"/>
                <w:szCs w:val="18"/>
              </w:rPr>
            </w:pPr>
            <w:r>
              <w:rPr>
                <w:rFonts w:ascii="Arial" w:hAnsi="Arial" w:cs="Arial"/>
                <w:color w:val="000000"/>
                <w:sz w:val="18"/>
                <w:szCs w:val="18"/>
              </w:rPr>
              <w:t>UL/DL CA_n26(2A)</w:t>
            </w:r>
          </w:p>
        </w:tc>
        <w:tc>
          <w:tcPr>
            <w:tcW w:w="17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F79C5D" w14:textId="7333B239"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1Tx</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4C364D76" w14:textId="77777777" w:rsidR="00155547" w:rsidRPr="00F64BDA" w:rsidRDefault="00155547" w:rsidP="004A7442">
            <w:pPr>
              <w:jc w:val="center"/>
              <w:rPr>
                <w:rFonts w:ascii="Arial" w:hAnsi="Arial" w:cs="Arial"/>
                <w:color w:val="000000"/>
                <w:sz w:val="18"/>
                <w:szCs w:val="18"/>
              </w:rPr>
            </w:pPr>
            <w:r w:rsidRPr="00F64BDA">
              <w:rPr>
                <w:rFonts w:ascii="Arial" w:hAnsi="Arial" w:cs="Arial"/>
                <w:color w:val="000000"/>
                <w:sz w:val="18"/>
                <w:szCs w:val="18"/>
              </w:rPr>
              <w:t>4</w:t>
            </w:r>
            <w:r>
              <w:rPr>
                <w:rFonts w:ascii="Arial" w:hAnsi="Arial" w:cs="Arial"/>
                <w:color w:val="000000"/>
                <w:sz w:val="18"/>
                <w:szCs w:val="18"/>
              </w:rPr>
              <w:t>7.5</w:t>
            </w:r>
            <w:r w:rsidRPr="00F64BDA">
              <w:rPr>
                <w:rFonts w:ascii="Arial" w:hAnsi="Arial" w:cs="Arial"/>
                <w:color w:val="000000"/>
                <w:sz w:val="18"/>
                <w:szCs w:val="18"/>
              </w:rPr>
              <w:t xml:space="preserve"> dB</w:t>
            </w:r>
          </w:p>
        </w:tc>
        <w:tc>
          <w:tcPr>
            <w:tcW w:w="2010" w:type="dxa"/>
            <w:tcBorders>
              <w:top w:val="single" w:sz="4" w:space="0" w:color="auto"/>
              <w:left w:val="nil"/>
              <w:bottom w:val="single" w:sz="4" w:space="0" w:color="auto"/>
              <w:right w:val="single" w:sz="8" w:space="0" w:color="auto"/>
            </w:tcBorders>
            <w:shd w:val="clear" w:color="auto" w:fill="auto"/>
            <w:noWrap/>
            <w:vAlign w:val="center"/>
            <w:hideMark/>
          </w:tcPr>
          <w:p w14:paraId="5A46921D" w14:textId="77777777"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30.5 dB</w:t>
            </w:r>
          </w:p>
        </w:tc>
      </w:tr>
      <w:tr w:rsidR="00155547" w:rsidRPr="00F64BDA" w14:paraId="45643215" w14:textId="77777777" w:rsidTr="00AB6913">
        <w:trPr>
          <w:trHeight w:val="288"/>
          <w:jc w:val="center"/>
        </w:trPr>
        <w:tc>
          <w:tcPr>
            <w:tcW w:w="2100" w:type="dxa"/>
            <w:vMerge/>
            <w:tcBorders>
              <w:left w:val="single" w:sz="8" w:space="0" w:color="auto"/>
              <w:bottom w:val="single" w:sz="4" w:space="0" w:color="auto"/>
              <w:right w:val="single" w:sz="4" w:space="0" w:color="auto"/>
            </w:tcBorders>
            <w:vAlign w:val="center"/>
          </w:tcPr>
          <w:p w14:paraId="33349FAD" w14:textId="77777777" w:rsidR="00155547" w:rsidRDefault="00155547" w:rsidP="004A7442">
            <w:pPr>
              <w:jc w:val="center"/>
              <w:rPr>
                <w:rFonts w:ascii="Arial" w:hAnsi="Arial" w:cs="Arial"/>
                <w:color w:val="000000"/>
                <w:sz w:val="18"/>
                <w:szCs w:val="18"/>
              </w:rPr>
            </w:pPr>
          </w:p>
        </w:tc>
        <w:tc>
          <w:tcPr>
            <w:tcW w:w="17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3A9B0A" w14:textId="0CE7C9C7" w:rsidR="00155547" w:rsidRDefault="00155547" w:rsidP="004A7442">
            <w:pPr>
              <w:jc w:val="center"/>
              <w:rPr>
                <w:rFonts w:ascii="Arial" w:hAnsi="Arial" w:cs="Arial"/>
                <w:color w:val="000000"/>
                <w:sz w:val="18"/>
                <w:szCs w:val="18"/>
              </w:rPr>
            </w:pPr>
            <w:r>
              <w:rPr>
                <w:rFonts w:ascii="Arial" w:hAnsi="Arial" w:cs="Arial"/>
                <w:color w:val="000000"/>
                <w:sz w:val="18"/>
                <w:szCs w:val="18"/>
              </w:rPr>
              <w:t>2Tx</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655AC88A" w14:textId="77777777"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46.5 dB</w:t>
            </w:r>
          </w:p>
        </w:tc>
        <w:tc>
          <w:tcPr>
            <w:tcW w:w="2010" w:type="dxa"/>
            <w:tcBorders>
              <w:top w:val="single" w:sz="4" w:space="0" w:color="auto"/>
              <w:left w:val="nil"/>
              <w:bottom w:val="single" w:sz="4" w:space="0" w:color="auto"/>
              <w:right w:val="single" w:sz="8" w:space="0" w:color="auto"/>
            </w:tcBorders>
            <w:shd w:val="clear" w:color="auto" w:fill="auto"/>
            <w:noWrap/>
            <w:vAlign w:val="center"/>
          </w:tcPr>
          <w:p w14:paraId="66CC4446" w14:textId="77777777" w:rsidR="00155547" w:rsidRPr="00F64BDA" w:rsidRDefault="00155547" w:rsidP="004A7442">
            <w:pPr>
              <w:jc w:val="center"/>
              <w:rPr>
                <w:rFonts w:ascii="Arial" w:hAnsi="Arial" w:cs="Arial"/>
                <w:color w:val="000000"/>
                <w:sz w:val="18"/>
                <w:szCs w:val="18"/>
              </w:rPr>
            </w:pPr>
            <w:r>
              <w:rPr>
                <w:rFonts w:ascii="Arial" w:hAnsi="Arial" w:cs="Arial"/>
                <w:color w:val="000000"/>
                <w:sz w:val="18"/>
                <w:szCs w:val="18"/>
              </w:rPr>
              <w:t>11.8 dB</w:t>
            </w:r>
          </w:p>
        </w:tc>
      </w:tr>
    </w:tbl>
    <w:p w14:paraId="793D3C32" w14:textId="77777777" w:rsidR="001A646C" w:rsidRPr="00155547" w:rsidRDefault="001A646C" w:rsidP="001A646C">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13D3E417" w:rsidR="0057672C" w:rsidRPr="003F1F20" w:rsidRDefault="00DE1BDE" w:rsidP="003F1F20">
      <w:pPr>
        <w:pStyle w:val="EX"/>
        <w:spacing w:after="180"/>
        <w:ind w:left="374" w:hanging="374"/>
        <w:jc w:val="both"/>
        <w:rPr>
          <w:rFonts w:ascii="Arial" w:hAnsi="Arial" w:cs="Arial"/>
          <w:bCs/>
          <w:sz w:val="20"/>
          <w:szCs w:val="20"/>
        </w:rPr>
      </w:pPr>
      <w:r w:rsidRPr="00DE1BDE">
        <w:rPr>
          <w:rFonts w:ascii="Arial" w:hAnsi="Arial" w:cs="Arial"/>
          <w:bCs/>
          <w:sz w:val="20"/>
          <w:szCs w:val="20"/>
        </w:rPr>
        <w:t>RP-</w:t>
      </w:r>
      <w:r w:rsidR="003F1F20">
        <w:rPr>
          <w:rFonts w:ascii="Arial" w:hAnsi="Arial" w:cs="Arial"/>
          <w:bCs/>
          <w:sz w:val="20"/>
          <w:szCs w:val="20"/>
        </w:rPr>
        <w:t>232680</w:t>
      </w:r>
      <w:r w:rsidRPr="00DE1BDE">
        <w:rPr>
          <w:rFonts w:ascii="Arial" w:hAnsi="Arial" w:cs="Arial"/>
          <w:bCs/>
          <w:sz w:val="20"/>
          <w:szCs w:val="20"/>
        </w:rPr>
        <w:t xml:space="preserve"> “</w:t>
      </w:r>
      <w:r w:rsidR="003F1F20" w:rsidRPr="003F1F20">
        <w:rPr>
          <w:rFonts w:ascii="Arial" w:hAnsi="Arial" w:cs="Arial"/>
          <w:bCs/>
          <w:sz w:val="20"/>
          <w:szCs w:val="20"/>
        </w:rPr>
        <w:t>Revised WID on enhancement for 700/800/900MHz band combinations</w:t>
      </w:r>
      <w:r w:rsidRPr="00DE1BDE">
        <w:rPr>
          <w:rFonts w:ascii="Arial" w:hAnsi="Arial" w:cs="Arial"/>
          <w:bCs/>
          <w:sz w:val="20"/>
          <w:szCs w:val="20"/>
        </w:rPr>
        <w:t xml:space="preserve">”, </w:t>
      </w:r>
      <w:r w:rsidR="003F1F20">
        <w:rPr>
          <w:rFonts w:ascii="Arial" w:hAnsi="Arial" w:cs="Arial"/>
          <w:bCs/>
          <w:sz w:val="20"/>
          <w:szCs w:val="20"/>
        </w:rPr>
        <w:t>CATT</w:t>
      </w:r>
      <w:r w:rsidRPr="00DE1BDE">
        <w:rPr>
          <w:rFonts w:ascii="Arial" w:hAnsi="Arial" w:cs="Arial"/>
          <w:bCs/>
          <w:sz w:val="20"/>
          <w:szCs w:val="20"/>
        </w:rPr>
        <w:t>, 3GPP TSG-RAN Meeting #</w:t>
      </w:r>
      <w:r w:rsidR="003F1F20">
        <w:rPr>
          <w:rFonts w:ascii="Arial" w:hAnsi="Arial" w:cs="Arial"/>
          <w:bCs/>
          <w:sz w:val="20"/>
          <w:szCs w:val="20"/>
        </w:rPr>
        <w:t>101</w:t>
      </w:r>
      <w:r w:rsidRPr="00DE1BDE">
        <w:rPr>
          <w:rFonts w:ascii="Arial" w:hAnsi="Arial" w:cs="Arial"/>
          <w:bCs/>
          <w:sz w:val="20"/>
          <w:szCs w:val="20"/>
        </w:rPr>
        <w:t xml:space="preserve">, </w:t>
      </w:r>
      <w:r w:rsidR="003F1F20">
        <w:rPr>
          <w:rFonts w:ascii="Arial" w:hAnsi="Arial" w:cs="Arial"/>
          <w:bCs/>
          <w:sz w:val="20"/>
          <w:szCs w:val="20"/>
        </w:rPr>
        <w:t>Bengaluru</w:t>
      </w:r>
      <w:r w:rsidRPr="00DE1BDE">
        <w:rPr>
          <w:rFonts w:ascii="Arial" w:hAnsi="Arial" w:cs="Arial"/>
          <w:bCs/>
          <w:sz w:val="20"/>
          <w:szCs w:val="20"/>
        </w:rPr>
        <w:t xml:space="preserve">, </w:t>
      </w:r>
      <w:r w:rsidR="003F1F20">
        <w:rPr>
          <w:rFonts w:ascii="Arial" w:hAnsi="Arial" w:cs="Arial"/>
          <w:bCs/>
          <w:sz w:val="20"/>
          <w:szCs w:val="20"/>
        </w:rPr>
        <w:t>India, September</w:t>
      </w:r>
      <w:r w:rsidRPr="00DE1BDE">
        <w:rPr>
          <w:rFonts w:ascii="Arial" w:hAnsi="Arial" w:cs="Arial"/>
          <w:bCs/>
          <w:sz w:val="20"/>
          <w:szCs w:val="20"/>
        </w:rPr>
        <w:t xml:space="preserve"> </w:t>
      </w:r>
      <w:r w:rsidR="003F1F20">
        <w:rPr>
          <w:rFonts w:ascii="Arial" w:hAnsi="Arial" w:cs="Arial"/>
          <w:bCs/>
          <w:sz w:val="20"/>
          <w:szCs w:val="20"/>
        </w:rPr>
        <w:t>11</w:t>
      </w:r>
      <w:r w:rsidRPr="00BC6AB1">
        <w:rPr>
          <w:rFonts w:ascii="Arial" w:hAnsi="Arial" w:cs="Arial"/>
          <w:bCs/>
          <w:sz w:val="20"/>
          <w:szCs w:val="20"/>
          <w:vertAlign w:val="superscript"/>
        </w:rPr>
        <w:t>th</w:t>
      </w:r>
      <w:r w:rsidRPr="00DE1BDE">
        <w:rPr>
          <w:rFonts w:ascii="Arial" w:hAnsi="Arial" w:cs="Arial"/>
          <w:bCs/>
          <w:sz w:val="20"/>
          <w:szCs w:val="20"/>
        </w:rPr>
        <w:t xml:space="preserve"> – </w:t>
      </w:r>
      <w:r w:rsidR="00BC6AB1">
        <w:rPr>
          <w:rFonts w:ascii="Arial" w:hAnsi="Arial" w:cs="Arial"/>
          <w:bCs/>
          <w:sz w:val="20"/>
          <w:szCs w:val="20"/>
        </w:rPr>
        <w:t>1</w:t>
      </w:r>
      <w:r w:rsidR="003F1F20">
        <w:rPr>
          <w:rFonts w:ascii="Arial" w:hAnsi="Arial" w:cs="Arial"/>
          <w:bCs/>
          <w:sz w:val="20"/>
          <w:szCs w:val="20"/>
        </w:rPr>
        <w:t>5</w:t>
      </w:r>
      <w:r w:rsidR="00BC6AB1" w:rsidRPr="00BC6AB1">
        <w:rPr>
          <w:rFonts w:ascii="Arial" w:hAnsi="Arial" w:cs="Arial"/>
          <w:bCs/>
          <w:sz w:val="20"/>
          <w:szCs w:val="20"/>
          <w:vertAlign w:val="superscript"/>
        </w:rPr>
        <w:t>th</w:t>
      </w:r>
      <w:r w:rsidRPr="00DE1BDE">
        <w:rPr>
          <w:rFonts w:ascii="Arial" w:hAnsi="Arial" w:cs="Arial"/>
          <w:bCs/>
          <w:sz w:val="20"/>
          <w:szCs w:val="20"/>
        </w:rPr>
        <w:t>, 202</w:t>
      </w:r>
      <w:r w:rsidR="003F1F20">
        <w:rPr>
          <w:rFonts w:ascii="Arial" w:hAnsi="Arial" w:cs="Arial"/>
          <w:bCs/>
          <w:sz w:val="20"/>
          <w:szCs w:val="20"/>
        </w:rPr>
        <w:t>3</w:t>
      </w:r>
    </w:p>
    <w:sectPr w:rsidR="0057672C" w:rsidRPr="003F1F2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BFF0" w14:textId="77777777" w:rsidR="0001368B" w:rsidRDefault="0001368B">
      <w:r>
        <w:separator/>
      </w:r>
    </w:p>
  </w:endnote>
  <w:endnote w:type="continuationSeparator" w:id="0">
    <w:p w14:paraId="12446D53" w14:textId="77777777" w:rsidR="0001368B" w:rsidRDefault="0001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2486" w14:textId="77777777" w:rsidR="0001368B" w:rsidRDefault="0001368B">
      <w:r>
        <w:separator/>
      </w:r>
    </w:p>
  </w:footnote>
  <w:footnote w:type="continuationSeparator" w:id="0">
    <w:p w14:paraId="7AC49A1D" w14:textId="77777777" w:rsidR="0001368B" w:rsidRDefault="00013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42"/>
    <w:rsid w:val="00004765"/>
    <w:rsid w:val="00005DB5"/>
    <w:rsid w:val="0000623D"/>
    <w:rsid w:val="00011CAD"/>
    <w:rsid w:val="0001368B"/>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365D"/>
    <w:rsid w:val="000A4877"/>
    <w:rsid w:val="000A68F3"/>
    <w:rsid w:val="000A6C2A"/>
    <w:rsid w:val="000A7399"/>
    <w:rsid w:val="000B6018"/>
    <w:rsid w:val="000B61FB"/>
    <w:rsid w:val="000B6AF7"/>
    <w:rsid w:val="000B7EA3"/>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A37"/>
    <w:rsid w:val="000E1CAF"/>
    <w:rsid w:val="000E2238"/>
    <w:rsid w:val="000E6A30"/>
    <w:rsid w:val="000E751D"/>
    <w:rsid w:val="000F42FB"/>
    <w:rsid w:val="00103298"/>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53DE"/>
    <w:rsid w:val="00155547"/>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7371"/>
    <w:rsid w:val="001B7504"/>
    <w:rsid w:val="001C21C3"/>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ACE"/>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3BA8"/>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A38"/>
    <w:rsid w:val="002D2B19"/>
    <w:rsid w:val="002D3298"/>
    <w:rsid w:val="002D405E"/>
    <w:rsid w:val="002D5BFE"/>
    <w:rsid w:val="002D6024"/>
    <w:rsid w:val="002D61E3"/>
    <w:rsid w:val="002E00EE"/>
    <w:rsid w:val="002E4D11"/>
    <w:rsid w:val="002E7499"/>
    <w:rsid w:val="002E75F6"/>
    <w:rsid w:val="002F4933"/>
    <w:rsid w:val="002F4F9E"/>
    <w:rsid w:val="00300CDB"/>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5662"/>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1F20"/>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52B9"/>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4189"/>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2910"/>
    <w:rsid w:val="007833DA"/>
    <w:rsid w:val="00787683"/>
    <w:rsid w:val="007921F5"/>
    <w:rsid w:val="0079544F"/>
    <w:rsid w:val="007955FC"/>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49D6"/>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BC8"/>
    <w:rsid w:val="00886F35"/>
    <w:rsid w:val="0088727A"/>
    <w:rsid w:val="0089062C"/>
    <w:rsid w:val="0089137B"/>
    <w:rsid w:val="00893C70"/>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313F"/>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2A84"/>
    <w:rsid w:val="0098313D"/>
    <w:rsid w:val="00983928"/>
    <w:rsid w:val="00991963"/>
    <w:rsid w:val="009929FF"/>
    <w:rsid w:val="009A162F"/>
    <w:rsid w:val="009A1B25"/>
    <w:rsid w:val="009A4EC2"/>
    <w:rsid w:val="009A561E"/>
    <w:rsid w:val="009B172F"/>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662C"/>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445C"/>
    <w:rsid w:val="00AA537C"/>
    <w:rsid w:val="00AA5567"/>
    <w:rsid w:val="00AA5A3D"/>
    <w:rsid w:val="00AB1619"/>
    <w:rsid w:val="00AB1C8F"/>
    <w:rsid w:val="00AB5A96"/>
    <w:rsid w:val="00AB6913"/>
    <w:rsid w:val="00AC0150"/>
    <w:rsid w:val="00AC3007"/>
    <w:rsid w:val="00AC3CC6"/>
    <w:rsid w:val="00AC541B"/>
    <w:rsid w:val="00AC56C6"/>
    <w:rsid w:val="00AC5C6A"/>
    <w:rsid w:val="00AC6BC6"/>
    <w:rsid w:val="00AD32E7"/>
    <w:rsid w:val="00AD5F64"/>
    <w:rsid w:val="00AD617D"/>
    <w:rsid w:val="00AE151F"/>
    <w:rsid w:val="00AE2B15"/>
    <w:rsid w:val="00AE3797"/>
    <w:rsid w:val="00AE4698"/>
    <w:rsid w:val="00AE60AB"/>
    <w:rsid w:val="00AE6823"/>
    <w:rsid w:val="00AF2977"/>
    <w:rsid w:val="00AF7AB0"/>
    <w:rsid w:val="00B00BD4"/>
    <w:rsid w:val="00B030C9"/>
    <w:rsid w:val="00B037D2"/>
    <w:rsid w:val="00B067E0"/>
    <w:rsid w:val="00B128FD"/>
    <w:rsid w:val="00B12B07"/>
    <w:rsid w:val="00B1390A"/>
    <w:rsid w:val="00B14CCF"/>
    <w:rsid w:val="00B150E6"/>
    <w:rsid w:val="00B15449"/>
    <w:rsid w:val="00B15FE6"/>
    <w:rsid w:val="00B16E7C"/>
    <w:rsid w:val="00B220C1"/>
    <w:rsid w:val="00B31CAA"/>
    <w:rsid w:val="00B3227E"/>
    <w:rsid w:val="00B3241C"/>
    <w:rsid w:val="00B35505"/>
    <w:rsid w:val="00B36A7D"/>
    <w:rsid w:val="00B37C70"/>
    <w:rsid w:val="00B416C3"/>
    <w:rsid w:val="00B44F81"/>
    <w:rsid w:val="00B45F97"/>
    <w:rsid w:val="00B50264"/>
    <w:rsid w:val="00B5178A"/>
    <w:rsid w:val="00B51CDC"/>
    <w:rsid w:val="00B5302C"/>
    <w:rsid w:val="00B55583"/>
    <w:rsid w:val="00B646A5"/>
    <w:rsid w:val="00B65A49"/>
    <w:rsid w:val="00B72AF3"/>
    <w:rsid w:val="00B76FBB"/>
    <w:rsid w:val="00B804A1"/>
    <w:rsid w:val="00B8176C"/>
    <w:rsid w:val="00B863E2"/>
    <w:rsid w:val="00B92829"/>
    <w:rsid w:val="00B92FE4"/>
    <w:rsid w:val="00B93086"/>
    <w:rsid w:val="00B959E4"/>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4F86"/>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B7FB6"/>
    <w:rsid w:val="00DC309B"/>
    <w:rsid w:val="00DC353B"/>
    <w:rsid w:val="00DC4DA2"/>
    <w:rsid w:val="00DD07AA"/>
    <w:rsid w:val="00DD4C17"/>
    <w:rsid w:val="00DD4D52"/>
    <w:rsid w:val="00DD5B2B"/>
    <w:rsid w:val="00DD6E9C"/>
    <w:rsid w:val="00DE0297"/>
    <w:rsid w:val="00DE0507"/>
    <w:rsid w:val="00DE1BDE"/>
    <w:rsid w:val="00DE227C"/>
    <w:rsid w:val="00DE4574"/>
    <w:rsid w:val="00DE4F66"/>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28D4"/>
    <w:rsid w:val="00E853F2"/>
    <w:rsid w:val="00E861A6"/>
    <w:rsid w:val="00E87CE3"/>
    <w:rsid w:val="00E90D30"/>
    <w:rsid w:val="00E922FE"/>
    <w:rsid w:val="00E963F7"/>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83F"/>
    <w:rsid w:val="00EE7844"/>
    <w:rsid w:val="00EF1417"/>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4E7C"/>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2023-09-27T03:53:00Z</dcterms:created>
  <dcterms:modified xsi:type="dcterms:W3CDTF">2023-09-27T18:17:00Z</dcterms:modified>
  <cp:category/>
</cp:coreProperties>
</file>